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0D" w:rsidRDefault="001006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5.8pt;margin-top:21.7pt;width:171.55pt;height:67.1pt;z-index:251658240;mso-width-relative:margin;mso-height-relative:margin">
            <v:textbox style="mso-next-textbox:#_x0000_s1028">
              <w:txbxContent>
                <w:p w:rsidR="00CB72B4" w:rsidRPr="00CB72B4" w:rsidRDefault="00CB72B4" w:rsidP="00CB72B4">
                  <w:pPr>
                    <w:spacing w:after="0"/>
                    <w:jc w:val="center"/>
                    <w:rPr>
                      <w:b/>
                    </w:rPr>
                  </w:pPr>
                  <w:r w:rsidRPr="00CB72B4">
                    <w:rPr>
                      <w:b/>
                    </w:rPr>
                    <w:t>Effective Models of ELearning</w:t>
                  </w:r>
                </w:p>
                <w:p w:rsidR="00CB72B4" w:rsidRPr="00CB72B4" w:rsidRDefault="00CB72B4" w:rsidP="00CB72B4">
                  <w:pPr>
                    <w:spacing w:after="0"/>
                    <w:jc w:val="center"/>
                    <w:rPr>
                      <w:b/>
                    </w:rPr>
                  </w:pPr>
                  <w:r w:rsidRPr="00CB72B4">
                    <w:rPr>
                      <w:b/>
                    </w:rPr>
                    <w:t>EDTC 676</w:t>
                  </w:r>
                </w:p>
                <w:p w:rsidR="00CB72B4" w:rsidRPr="00CB72B4" w:rsidRDefault="00CB72B4" w:rsidP="00CB72B4">
                  <w:pPr>
                    <w:spacing w:after="0"/>
                    <w:jc w:val="center"/>
                    <w:rPr>
                      <w:b/>
                    </w:rPr>
                  </w:pPr>
                  <w:r w:rsidRPr="00CB72B4">
                    <w:rPr>
                      <w:b/>
                    </w:rPr>
                    <w:t>Higher Education Case Studies</w:t>
                  </w:r>
                </w:p>
                <w:p w:rsidR="00CB72B4" w:rsidRPr="00AA660D" w:rsidRDefault="00CB72B4" w:rsidP="00CB72B4">
                  <w:pPr>
                    <w:spacing w:after="0"/>
                    <w:jc w:val="center"/>
                  </w:pPr>
                  <w:r>
                    <w:t>Martha Osei-Yaw</w:t>
                  </w:r>
                </w:p>
              </w:txbxContent>
            </v:textbox>
          </v:shape>
        </w:pict>
      </w:r>
    </w:p>
    <w:p w:rsidR="00AA660D" w:rsidRDefault="00AA660D"/>
    <w:tbl>
      <w:tblPr>
        <w:tblStyle w:val="TableGrid"/>
        <w:tblpPr w:leftFromText="180" w:rightFromText="180" w:vertAnchor="page" w:horzAnchor="margin" w:tblpY="3661"/>
        <w:tblW w:w="9828" w:type="dxa"/>
        <w:tblLook w:val="04A0"/>
      </w:tblPr>
      <w:tblGrid>
        <w:gridCol w:w="2520"/>
        <w:gridCol w:w="7308"/>
      </w:tblGrid>
      <w:tr w:rsidR="00C1545B" w:rsidTr="00C1545B">
        <w:tc>
          <w:tcPr>
            <w:tcW w:w="2520" w:type="dxa"/>
            <w:shd w:val="clear" w:color="auto" w:fill="DBE5F1" w:themeFill="accent1" w:themeFillTint="33"/>
          </w:tcPr>
          <w:p w:rsidR="00C1545B" w:rsidRDefault="00C1545B" w:rsidP="00C1545B">
            <w:pPr>
              <w:rPr>
                <w:b/>
              </w:rPr>
            </w:pPr>
            <w:r>
              <w:rPr>
                <w:b/>
              </w:rPr>
              <w:t>CASE STUDY #1:</w:t>
            </w:r>
          </w:p>
          <w:p w:rsidR="00C1545B" w:rsidRPr="00C1545B" w:rsidRDefault="00C1545B" w:rsidP="00C1545B">
            <w:r w:rsidRPr="00C1545B">
              <w:t>Online Learning Director</w:t>
            </w:r>
          </w:p>
        </w:tc>
        <w:tc>
          <w:tcPr>
            <w:tcW w:w="7308" w:type="dxa"/>
            <w:shd w:val="clear" w:color="auto" w:fill="DBE5F1" w:themeFill="accent1" w:themeFillTint="33"/>
          </w:tcPr>
          <w:p w:rsidR="00C1545B" w:rsidRPr="00AA660D" w:rsidRDefault="00C1545B" w:rsidP="00C1545B">
            <w:pPr>
              <w:rPr>
                <w:b/>
              </w:rPr>
            </w:pPr>
          </w:p>
        </w:tc>
      </w:tr>
      <w:tr w:rsidR="00C1545B" w:rsidTr="00C1545B">
        <w:tc>
          <w:tcPr>
            <w:tcW w:w="2520" w:type="dxa"/>
            <w:shd w:val="clear" w:color="auto" w:fill="DBE5F1" w:themeFill="accent1" w:themeFillTint="33"/>
          </w:tcPr>
          <w:p w:rsidR="00C1545B" w:rsidRPr="00AA660D" w:rsidRDefault="00C1545B" w:rsidP="00C1545B">
            <w:pPr>
              <w:rPr>
                <w:b/>
              </w:rPr>
            </w:pPr>
            <w:r w:rsidRPr="00AA660D">
              <w:rPr>
                <w:b/>
              </w:rPr>
              <w:t>SECTIONS</w:t>
            </w:r>
          </w:p>
        </w:tc>
        <w:tc>
          <w:tcPr>
            <w:tcW w:w="7308" w:type="dxa"/>
            <w:shd w:val="clear" w:color="auto" w:fill="DBE5F1" w:themeFill="accent1" w:themeFillTint="33"/>
          </w:tcPr>
          <w:p w:rsidR="00C1545B" w:rsidRPr="00AA660D" w:rsidRDefault="00C1545B" w:rsidP="00C1545B">
            <w:pPr>
              <w:rPr>
                <w:b/>
              </w:rPr>
            </w:pPr>
            <w:r w:rsidRPr="00AA660D">
              <w:rPr>
                <w:b/>
              </w:rPr>
              <w:t>CRITERIA</w:t>
            </w:r>
          </w:p>
        </w:tc>
      </w:tr>
      <w:tr w:rsidR="00C1545B" w:rsidTr="00C1545B">
        <w:tc>
          <w:tcPr>
            <w:tcW w:w="2520" w:type="dxa"/>
          </w:tcPr>
          <w:p w:rsidR="00C1545B" w:rsidRDefault="00C1545B" w:rsidP="00C1545B">
            <w:r>
              <w:t>OVERVIEW</w:t>
            </w:r>
          </w:p>
        </w:tc>
        <w:tc>
          <w:tcPr>
            <w:tcW w:w="7308" w:type="dxa"/>
          </w:tcPr>
          <w:p w:rsidR="00C1545B" w:rsidRDefault="00C1545B" w:rsidP="00C1545B">
            <w:r>
              <w:t>South Range State College is an urban institution with an enrollment of 6,500 undergraduates and 2000 graduates</w:t>
            </w:r>
            <w:r w:rsidR="00024E01">
              <w:t>.</w:t>
            </w:r>
          </w:p>
          <w:p w:rsidR="00C1545B" w:rsidRDefault="00C1545B" w:rsidP="00C1545B"/>
          <w:p w:rsidR="00C6167B" w:rsidRDefault="00C1545B" w:rsidP="006B4153">
            <w:r w:rsidRPr="006B4153">
              <w:rPr>
                <w:b/>
              </w:rPr>
              <w:t>Current Situation:</w:t>
            </w:r>
            <w:r w:rsidR="006B4153">
              <w:t xml:space="preserve">  SRSC is struggling financially due to </w:t>
            </w:r>
            <w:r w:rsidR="00024E01">
              <w:t>declining state</w:t>
            </w:r>
            <w:r w:rsidR="006B4153">
              <w:t xml:space="preserve"> funding.  As a result, student tuition and fees have increased.  The undergraduate enrollment continues to decrease while the graduate enrollment remains stable.  There are only two graduate programs available online although some </w:t>
            </w:r>
            <w:r w:rsidR="00C6167B">
              <w:t xml:space="preserve">individual courses are offered either online and/or as a hybrid.  Online courses receive the worst student evaluations.  As a result, the faculty only teaches one online course per semester due to poor evaluations. </w:t>
            </w:r>
            <w:r w:rsidR="00024E01">
              <w:t>T</w:t>
            </w:r>
            <w:r w:rsidR="00C6167B">
              <w:t xml:space="preserve">he Provost has </w:t>
            </w:r>
            <w:r w:rsidR="00024E01">
              <w:t xml:space="preserve">also </w:t>
            </w:r>
            <w:r w:rsidR="00C6167B">
              <w:t>decided to increase o</w:t>
            </w:r>
            <w:r w:rsidR="00024E01">
              <w:t>nline class sizes from 20 to 25 to gain revenue.</w:t>
            </w:r>
          </w:p>
          <w:p w:rsidR="00C6167B" w:rsidRDefault="00C6167B" w:rsidP="006B4153"/>
          <w:p w:rsidR="00C1545B" w:rsidRPr="00024E01" w:rsidRDefault="00C6167B" w:rsidP="00034033">
            <w:r w:rsidRPr="00C6167B">
              <w:rPr>
                <w:b/>
              </w:rPr>
              <w:t xml:space="preserve">Challenge:  </w:t>
            </w:r>
            <w:r w:rsidR="00024E01">
              <w:t xml:space="preserve">As the Director for Online Learning, you will need to create a comprehensive proposal </w:t>
            </w:r>
            <w:r w:rsidR="00034033">
              <w:t>to address the decrease in undergraduate enrollment and the poor student evaluations for the online courses</w:t>
            </w:r>
            <w:r w:rsidR="00024E01">
              <w:t xml:space="preserve">.  </w:t>
            </w:r>
          </w:p>
        </w:tc>
      </w:tr>
      <w:tr w:rsidR="00C1545B" w:rsidTr="00C1545B">
        <w:tc>
          <w:tcPr>
            <w:tcW w:w="2520" w:type="dxa"/>
          </w:tcPr>
          <w:p w:rsidR="00C1545B" w:rsidRDefault="00C1545B" w:rsidP="00C1545B">
            <w:r>
              <w:t>NEEDS ANALYSIS</w:t>
            </w:r>
          </w:p>
        </w:tc>
        <w:tc>
          <w:tcPr>
            <w:tcW w:w="7308" w:type="dxa"/>
          </w:tcPr>
          <w:p w:rsidR="00A96EAE" w:rsidRDefault="00024E01" w:rsidP="00C1545B">
            <w:r>
              <w:t xml:space="preserve">In order to </w:t>
            </w:r>
            <w:r w:rsidR="00034033">
              <w:t>address</w:t>
            </w:r>
            <w:r w:rsidR="00A96EAE">
              <w:t xml:space="preserve"> the </w:t>
            </w:r>
            <w:r w:rsidR="00034033">
              <w:t xml:space="preserve">existing challenges </w:t>
            </w:r>
            <w:r w:rsidR="00A96EAE">
              <w:t xml:space="preserve">a performance analysis should be conducted using </w:t>
            </w:r>
            <w:proofErr w:type="spellStart"/>
            <w:r w:rsidR="00A96EAE">
              <w:t>Mager’</w:t>
            </w:r>
            <w:r w:rsidR="00937971">
              <w:t>s</w:t>
            </w:r>
            <w:proofErr w:type="spellEnd"/>
            <w:r w:rsidR="00937971">
              <w:t xml:space="preserve"> model (Brown &amp; Green, p. 44)</w:t>
            </w:r>
          </w:p>
          <w:p w:rsidR="00937971" w:rsidRDefault="00937971" w:rsidP="00937971">
            <w:pPr>
              <w:pStyle w:val="ListParagraph"/>
              <w:numPr>
                <w:ilvl w:val="0"/>
                <w:numId w:val="1"/>
              </w:numPr>
            </w:pPr>
            <w:r>
              <w:t>The performance analysis may be able to determine what the professors in the graduate programs are doing to maintain a steady enrollment as compared to the professors in the undergraduate programs.</w:t>
            </w:r>
          </w:p>
          <w:p w:rsidR="00667BA6" w:rsidRDefault="00937971" w:rsidP="00937971">
            <w:pPr>
              <w:pStyle w:val="ListParagraph"/>
              <w:numPr>
                <w:ilvl w:val="0"/>
                <w:numId w:val="1"/>
              </w:numPr>
            </w:pPr>
            <w:r>
              <w:t xml:space="preserve">If a difference exists, the cause should be determined.  Once the cause is determined the situation should be remedied depending on the outcome. </w:t>
            </w:r>
          </w:p>
          <w:p w:rsidR="00667BA6" w:rsidRDefault="00667BA6" w:rsidP="00937971">
            <w:pPr>
              <w:pStyle w:val="ListParagraph"/>
              <w:numPr>
                <w:ilvl w:val="0"/>
                <w:numId w:val="1"/>
              </w:numPr>
            </w:pPr>
            <w:r>
              <w:t>It should also be determined whether the professors that teach online classes know how to do what is expected of them.</w:t>
            </w:r>
          </w:p>
          <w:p w:rsidR="00667BA6" w:rsidRDefault="00667BA6" w:rsidP="00937971">
            <w:pPr>
              <w:pStyle w:val="ListParagraph"/>
              <w:numPr>
                <w:ilvl w:val="0"/>
                <w:numId w:val="1"/>
              </w:numPr>
            </w:pPr>
            <w:r>
              <w:t>If they could and know how to do it then why are they not doing what they should be doing?</w:t>
            </w:r>
          </w:p>
          <w:p w:rsidR="00C1545B" w:rsidRDefault="00667BA6" w:rsidP="00937971">
            <w:pPr>
              <w:pStyle w:val="ListParagraph"/>
              <w:numPr>
                <w:ilvl w:val="0"/>
                <w:numId w:val="1"/>
              </w:numPr>
            </w:pPr>
            <w:r>
              <w:t>If the professors don’t know what is expected of them and how to do it can the task be simplified?</w:t>
            </w:r>
            <w:r w:rsidR="00034033">
              <w:t xml:space="preserve">  It will also need to be determined if training will need to take place.</w:t>
            </w:r>
            <w:r>
              <w:t xml:space="preserve">  </w:t>
            </w:r>
            <w:r w:rsidR="00937971">
              <w:t xml:space="preserve">  </w:t>
            </w:r>
            <w:r w:rsidR="004D5B6C">
              <w:t xml:space="preserve"> </w:t>
            </w:r>
          </w:p>
          <w:p w:rsidR="004D5B6C" w:rsidRDefault="00AB2F90" w:rsidP="004D5B6C">
            <w:pPr>
              <w:pStyle w:val="ListParagraph"/>
              <w:numPr>
                <w:ilvl w:val="0"/>
                <w:numId w:val="1"/>
              </w:numPr>
            </w:pPr>
            <w:r>
              <w:t>In addition, t</w:t>
            </w:r>
            <w:r w:rsidR="004D5B6C">
              <w:t xml:space="preserve">he </w:t>
            </w:r>
            <w:r w:rsidR="00937971">
              <w:t xml:space="preserve">existing </w:t>
            </w:r>
            <w:r w:rsidR="004D5B6C">
              <w:t xml:space="preserve">student survey results </w:t>
            </w:r>
            <w:r w:rsidR="00937971">
              <w:t>should be analyze</w:t>
            </w:r>
            <w:r w:rsidR="00667BA6">
              <w:t>d closely especially the feedback</w:t>
            </w:r>
            <w:r w:rsidR="00937971">
              <w:t xml:space="preserve"> from the </w:t>
            </w:r>
            <w:r w:rsidR="004D5B6C">
              <w:t>online courses.  This would be a good starting point since the data should be readily available.</w:t>
            </w:r>
          </w:p>
          <w:p w:rsidR="004A54B2" w:rsidRDefault="004A54B2" w:rsidP="004A54B2"/>
          <w:p w:rsidR="004A54B2" w:rsidRDefault="004A54B2" w:rsidP="004A54B2"/>
          <w:p w:rsidR="004A54B2" w:rsidRDefault="004A54B2" w:rsidP="004A54B2"/>
          <w:p w:rsidR="004A54B2" w:rsidRDefault="004A54B2" w:rsidP="004A54B2"/>
          <w:p w:rsidR="004A54B2" w:rsidRDefault="004A54B2" w:rsidP="004A54B2"/>
          <w:p w:rsidR="004A54B2" w:rsidRDefault="004A54B2" w:rsidP="004A54B2"/>
          <w:p w:rsidR="004A54B2" w:rsidRDefault="004A54B2" w:rsidP="004A54B2"/>
          <w:p w:rsidR="004A54B2" w:rsidRDefault="004A54B2" w:rsidP="004A54B2"/>
          <w:p w:rsidR="004D5B6C" w:rsidRDefault="004A54B2" w:rsidP="004D5B6C">
            <w:pPr>
              <w:pStyle w:val="ListParagraph"/>
              <w:numPr>
                <w:ilvl w:val="0"/>
                <w:numId w:val="1"/>
              </w:numPr>
            </w:pPr>
            <w:r>
              <w:t>P</w:t>
            </w:r>
            <w:r w:rsidR="004D5B6C">
              <w:t xml:space="preserve">eople in key positions </w:t>
            </w:r>
            <w:r w:rsidR="00034033">
              <w:t xml:space="preserve">should also be interviewed </w:t>
            </w:r>
            <w:r w:rsidR="004D5B6C">
              <w:t>in order to gain first-hand knowledge</w:t>
            </w:r>
            <w:r w:rsidR="00137BB7">
              <w:t xml:space="preserve"> about what’s working</w:t>
            </w:r>
            <w:r w:rsidR="00034033">
              <w:t xml:space="preserve"> well</w:t>
            </w:r>
            <w:r w:rsidR="00AB2F90">
              <w:t xml:space="preserve">, </w:t>
            </w:r>
            <w:r w:rsidR="00137BB7">
              <w:t xml:space="preserve">what’s not </w:t>
            </w:r>
            <w:r w:rsidR="00E13F0E">
              <w:t>working and</w:t>
            </w:r>
            <w:r w:rsidR="00AB2F90">
              <w:t xml:space="preserve"> the reasons for it.</w:t>
            </w:r>
          </w:p>
          <w:p w:rsidR="00137BB7" w:rsidRDefault="00137BB7" w:rsidP="004D5B6C">
            <w:pPr>
              <w:pStyle w:val="ListParagraph"/>
              <w:numPr>
                <w:ilvl w:val="0"/>
                <w:numId w:val="1"/>
              </w:numPr>
            </w:pPr>
            <w:r>
              <w:t xml:space="preserve">A review of the relevant literature may </w:t>
            </w:r>
            <w:r w:rsidR="00AB2F90">
              <w:t xml:space="preserve">also </w:t>
            </w:r>
            <w:r>
              <w:t>provide some key insights as to how other institutions have addressed similar concerns.</w:t>
            </w:r>
          </w:p>
          <w:p w:rsidR="00137BB7" w:rsidRDefault="00AB2F90" w:rsidP="00AB2F90">
            <w:pPr>
              <w:pStyle w:val="ListParagraph"/>
              <w:numPr>
                <w:ilvl w:val="0"/>
                <w:numId w:val="1"/>
              </w:numPr>
            </w:pPr>
            <w:r>
              <w:t>Conducting i</w:t>
            </w:r>
            <w:r w:rsidR="00137BB7">
              <w:t xml:space="preserve">nterviews with focus groups </w:t>
            </w:r>
            <w:r>
              <w:t xml:space="preserve">can also </w:t>
            </w:r>
            <w:r w:rsidR="00137BB7">
              <w:t>provide</w:t>
            </w:r>
            <w:r>
              <w:t xml:space="preserve"> meaningful feedback from all stakeholders.</w:t>
            </w:r>
          </w:p>
        </w:tc>
      </w:tr>
      <w:tr w:rsidR="00C1545B" w:rsidTr="00C1545B">
        <w:tc>
          <w:tcPr>
            <w:tcW w:w="2520" w:type="dxa"/>
          </w:tcPr>
          <w:p w:rsidR="00C1545B" w:rsidRDefault="00C1545B" w:rsidP="00C1545B">
            <w:r>
              <w:lastRenderedPageBreak/>
              <w:t>TASK ANALYSIS</w:t>
            </w:r>
          </w:p>
        </w:tc>
        <w:tc>
          <w:tcPr>
            <w:tcW w:w="7308" w:type="dxa"/>
          </w:tcPr>
          <w:p w:rsidR="00C1545B" w:rsidRDefault="004F3B0C" w:rsidP="004F3B0C">
            <w:pPr>
              <w:pStyle w:val="ListParagraph"/>
              <w:numPr>
                <w:ilvl w:val="0"/>
                <w:numId w:val="2"/>
              </w:numPr>
            </w:pPr>
            <w:r>
              <w:t>The instructors that teach the online courses ne</w:t>
            </w:r>
            <w:r w:rsidR="00CB05CB">
              <w:t xml:space="preserve">ed to have a strong background in content knowledge. </w:t>
            </w:r>
            <w:r>
              <w:t xml:space="preserve">  </w:t>
            </w:r>
          </w:p>
          <w:p w:rsidR="00E13F0E" w:rsidRDefault="004F3B0C" w:rsidP="00E13F0E">
            <w:pPr>
              <w:pStyle w:val="ListParagraph"/>
              <w:numPr>
                <w:ilvl w:val="0"/>
                <w:numId w:val="2"/>
              </w:numPr>
            </w:pPr>
            <w:r>
              <w:t>The instructors also need to have the technical expertise on how to teach an online course.</w:t>
            </w:r>
          </w:p>
          <w:p w:rsidR="00CB05CB" w:rsidRDefault="00CB05CB" w:rsidP="00E13F0E">
            <w:pPr>
              <w:pStyle w:val="ListParagraph"/>
              <w:numPr>
                <w:ilvl w:val="0"/>
                <w:numId w:val="2"/>
              </w:numPr>
            </w:pPr>
            <w:r>
              <w:t>A subject matter expert should also be involved in this process.</w:t>
            </w:r>
          </w:p>
        </w:tc>
      </w:tr>
      <w:tr w:rsidR="00C1545B" w:rsidTr="00C1545B">
        <w:tc>
          <w:tcPr>
            <w:tcW w:w="2520" w:type="dxa"/>
          </w:tcPr>
          <w:p w:rsidR="00C1545B" w:rsidRDefault="00C1545B" w:rsidP="00C1545B">
            <w:r>
              <w:t>LEARNER ANALYSIS</w:t>
            </w:r>
          </w:p>
        </w:tc>
        <w:tc>
          <w:tcPr>
            <w:tcW w:w="7308" w:type="dxa"/>
          </w:tcPr>
          <w:p w:rsidR="00436F91" w:rsidRDefault="00436F91" w:rsidP="00AC0CD9">
            <w:pPr>
              <w:pStyle w:val="ListParagraph"/>
              <w:numPr>
                <w:ilvl w:val="0"/>
                <w:numId w:val="7"/>
              </w:numPr>
            </w:pPr>
            <w:r>
              <w:t>Conduct a learner analysis to develop a clear understanding of the target audience and what they can and will be able to do (Brown &amp; Green, p. 72).</w:t>
            </w:r>
          </w:p>
          <w:p w:rsidR="00C1545B" w:rsidRDefault="00436F91" w:rsidP="00341DAB">
            <w:pPr>
              <w:pStyle w:val="ListParagraph"/>
              <w:numPr>
                <w:ilvl w:val="0"/>
                <w:numId w:val="7"/>
              </w:numPr>
            </w:pPr>
            <w:r>
              <w:t>Instructional lessons should also be developed with the guiding principles of UDL</w:t>
            </w:r>
            <w:r w:rsidR="00AC0CD9">
              <w:t xml:space="preserve"> and with the different learning styles in mind.</w:t>
            </w:r>
          </w:p>
        </w:tc>
      </w:tr>
      <w:tr w:rsidR="00C1545B" w:rsidTr="00AA548D">
        <w:tc>
          <w:tcPr>
            <w:tcW w:w="2520" w:type="dxa"/>
            <w:shd w:val="clear" w:color="auto" w:fill="auto"/>
          </w:tcPr>
          <w:p w:rsidR="00C1545B" w:rsidRDefault="00C1545B" w:rsidP="00C1545B">
            <w:r w:rsidRPr="00AA548D">
              <w:t>GOALS/OBJECTIVES</w:t>
            </w:r>
          </w:p>
        </w:tc>
        <w:tc>
          <w:tcPr>
            <w:tcW w:w="7308" w:type="dxa"/>
          </w:tcPr>
          <w:p w:rsidR="00C1545B" w:rsidRDefault="00AA548D" w:rsidP="00AA548D">
            <w:r>
              <w:t xml:space="preserve">The desired outcome </w:t>
            </w:r>
            <w:r w:rsidR="00E13F0E">
              <w:t xml:space="preserve">of this case study </w:t>
            </w:r>
            <w:r>
              <w:t xml:space="preserve">is </w:t>
            </w:r>
            <w:r w:rsidR="00E13F0E">
              <w:t xml:space="preserve">to increase undergraduate </w:t>
            </w:r>
            <w:r>
              <w:t xml:space="preserve">student enrollment at SRSC and create a </w:t>
            </w:r>
            <w:r w:rsidR="005E6718">
              <w:t>positive experience with online learning.</w:t>
            </w:r>
          </w:p>
          <w:p w:rsidR="00E13F0E" w:rsidRDefault="005E6718" w:rsidP="005E6718">
            <w:pPr>
              <w:pStyle w:val="ListParagraph"/>
              <w:numPr>
                <w:ilvl w:val="0"/>
                <w:numId w:val="5"/>
              </w:numPr>
            </w:pPr>
            <w:r>
              <w:t>The instructional staff will demonstrate an understanding of the target audience and the skills that need to be addressed</w:t>
            </w:r>
          </w:p>
          <w:p w:rsidR="005E6718" w:rsidRDefault="005E6718" w:rsidP="005E6718">
            <w:pPr>
              <w:pStyle w:val="ListParagraph"/>
              <w:numPr>
                <w:ilvl w:val="0"/>
                <w:numId w:val="5"/>
              </w:numPr>
            </w:pPr>
            <w:r>
              <w:t>The instructional staff will develop goals and objectives of learning aligned to the curriculum.</w:t>
            </w:r>
          </w:p>
          <w:p w:rsidR="005E6718" w:rsidRDefault="005E6718" w:rsidP="005E6718">
            <w:pPr>
              <w:pStyle w:val="ListParagraph"/>
              <w:numPr>
                <w:ilvl w:val="0"/>
                <w:numId w:val="5"/>
              </w:numPr>
            </w:pPr>
            <w:r>
              <w:t xml:space="preserve">The instructional staff will </w:t>
            </w:r>
            <w:r w:rsidR="00170B30">
              <w:t>create an online learning module that will facilitate the learning process.</w:t>
            </w:r>
          </w:p>
        </w:tc>
      </w:tr>
      <w:tr w:rsidR="00AB2F90" w:rsidTr="00C1545B">
        <w:tc>
          <w:tcPr>
            <w:tcW w:w="2520" w:type="dxa"/>
          </w:tcPr>
          <w:p w:rsidR="00AB2F90" w:rsidRDefault="00034033" w:rsidP="00C1545B">
            <w:r>
              <w:t>OPTIONS FOR CONSIDERATION</w:t>
            </w:r>
          </w:p>
        </w:tc>
        <w:tc>
          <w:tcPr>
            <w:tcW w:w="7308" w:type="dxa"/>
          </w:tcPr>
          <w:p w:rsidR="00AB2F90" w:rsidRDefault="00034033" w:rsidP="00C1545B">
            <w:r>
              <w:t>Proposal:</w:t>
            </w:r>
          </w:p>
          <w:p w:rsidR="00CB05CB" w:rsidRDefault="00341DAB" w:rsidP="00E13F0E">
            <w:pPr>
              <w:pStyle w:val="ListParagraph"/>
              <w:numPr>
                <w:ilvl w:val="0"/>
                <w:numId w:val="3"/>
              </w:numPr>
            </w:pPr>
            <w:r>
              <w:t xml:space="preserve">Follow the </w:t>
            </w:r>
            <w:proofErr w:type="spellStart"/>
            <w:r>
              <w:t>Jonassen</w:t>
            </w:r>
            <w:proofErr w:type="spellEnd"/>
            <w:r>
              <w:t xml:space="preserve">, </w:t>
            </w:r>
            <w:proofErr w:type="spellStart"/>
            <w:r>
              <w:t>Hannum</w:t>
            </w:r>
            <w:proofErr w:type="spellEnd"/>
            <w:r>
              <w:t xml:space="preserve">, and </w:t>
            </w:r>
            <w:proofErr w:type="spellStart"/>
            <w:r>
              <w:t>Tessmer</w:t>
            </w:r>
            <w:proofErr w:type="spellEnd"/>
            <w:r>
              <w:t xml:space="preserve"> Model of task analysis (Brown &amp; Green, p. 58) to help determine the goals and objectives of learning along with the tasks, sequencing of instructional activities, learning environments and performance assessments.  </w:t>
            </w:r>
          </w:p>
          <w:p w:rsidR="00AC0CD9" w:rsidRDefault="00AC0CD9" w:rsidP="00E13F0E">
            <w:pPr>
              <w:pStyle w:val="ListParagraph"/>
              <w:numPr>
                <w:ilvl w:val="0"/>
                <w:numId w:val="3"/>
              </w:numPr>
            </w:pPr>
            <w:r>
              <w:t xml:space="preserve">The instructional staff should consider </w:t>
            </w:r>
            <w:proofErr w:type="spellStart"/>
            <w:r>
              <w:t>Mager’s</w:t>
            </w:r>
            <w:proofErr w:type="spellEnd"/>
            <w:r>
              <w:t xml:space="preserve"> Approach to Analyzing Learners (Brown &amp; Green, p. 76)</w:t>
            </w:r>
          </w:p>
          <w:p w:rsidR="00E13F0E" w:rsidRDefault="00E13F0E" w:rsidP="00E13F0E">
            <w:pPr>
              <w:pStyle w:val="ListParagraph"/>
              <w:numPr>
                <w:ilvl w:val="0"/>
                <w:numId w:val="3"/>
              </w:numPr>
            </w:pPr>
            <w:r>
              <w:t>Involve a subject matter expert to provide greater insights on the sequencing of instruction.</w:t>
            </w:r>
          </w:p>
        </w:tc>
      </w:tr>
      <w:tr w:rsidR="00034033" w:rsidTr="00C1545B">
        <w:tc>
          <w:tcPr>
            <w:tcW w:w="2520" w:type="dxa"/>
          </w:tcPr>
          <w:p w:rsidR="00034033" w:rsidRDefault="00034033" w:rsidP="00C1545B">
            <w:r>
              <w:t>BENEFITS</w:t>
            </w:r>
          </w:p>
        </w:tc>
        <w:tc>
          <w:tcPr>
            <w:tcW w:w="7308" w:type="dxa"/>
          </w:tcPr>
          <w:p w:rsidR="00CA4238" w:rsidRDefault="00CA4238" w:rsidP="00CA4238">
            <w:pPr>
              <w:pStyle w:val="ListParagraph"/>
              <w:numPr>
                <w:ilvl w:val="0"/>
                <w:numId w:val="3"/>
              </w:numPr>
            </w:pPr>
            <w:r>
              <w:t>This plan has the potential to improve the educational, intellectual, cultural and socio-economic environment of the urban region that surrounds SRSC.</w:t>
            </w:r>
          </w:p>
          <w:p w:rsidR="00CA4238" w:rsidRDefault="00CA4238" w:rsidP="00CA4238">
            <w:pPr>
              <w:pStyle w:val="ListParagraph"/>
              <w:numPr>
                <w:ilvl w:val="0"/>
                <w:numId w:val="3"/>
              </w:numPr>
            </w:pPr>
            <w:r>
              <w:t>It can also provide the opportunity to increase revenues for the institution.</w:t>
            </w:r>
          </w:p>
        </w:tc>
      </w:tr>
      <w:tr w:rsidR="00034033" w:rsidTr="00C1545B">
        <w:tc>
          <w:tcPr>
            <w:tcW w:w="2520" w:type="dxa"/>
          </w:tcPr>
          <w:p w:rsidR="00034033" w:rsidRDefault="00034033" w:rsidP="00C1545B">
            <w:r>
              <w:t>DOWNSIDES</w:t>
            </w:r>
          </w:p>
        </w:tc>
        <w:tc>
          <w:tcPr>
            <w:tcW w:w="7308" w:type="dxa"/>
          </w:tcPr>
          <w:p w:rsidR="00034033" w:rsidRDefault="00CB05CB" w:rsidP="00CB05CB">
            <w:pPr>
              <w:pStyle w:val="ListParagraph"/>
              <w:numPr>
                <w:ilvl w:val="0"/>
                <w:numId w:val="6"/>
              </w:numPr>
            </w:pPr>
            <w:r>
              <w:t>Involving a subject matter expert will require additional funding which poses a challenge due to the current budgetary restrictions.</w:t>
            </w:r>
          </w:p>
        </w:tc>
      </w:tr>
      <w:tr w:rsidR="00034033" w:rsidTr="00C1545B">
        <w:tc>
          <w:tcPr>
            <w:tcW w:w="2520" w:type="dxa"/>
          </w:tcPr>
          <w:p w:rsidR="00034033" w:rsidRDefault="00034033" w:rsidP="00C1545B">
            <w:r>
              <w:t>OPTIONS RECOMME</w:t>
            </w:r>
            <w:r w:rsidR="00DD1314">
              <w:t>N</w:t>
            </w:r>
            <w:r>
              <w:t>DED</w:t>
            </w:r>
          </w:p>
        </w:tc>
        <w:tc>
          <w:tcPr>
            <w:tcW w:w="7308" w:type="dxa"/>
          </w:tcPr>
          <w:p w:rsidR="00CA4238" w:rsidRDefault="00CA4238" w:rsidP="00CA4238">
            <w:pPr>
              <w:pStyle w:val="ListParagraph"/>
              <w:numPr>
                <w:ilvl w:val="0"/>
                <w:numId w:val="3"/>
              </w:numPr>
            </w:pPr>
            <w:r>
              <w:t>According to the needs analysis survey it was determined that</w:t>
            </w:r>
            <w:r w:rsidR="00C37080">
              <w:t xml:space="preserve"> many of the undergraduate courses were taught by adjunct professors with limited experience in teaching at institutions of higher education.</w:t>
            </w:r>
          </w:p>
          <w:p w:rsidR="00D262FC" w:rsidRDefault="00D262FC" w:rsidP="00D262FC"/>
          <w:p w:rsidR="00D262FC" w:rsidRDefault="00D262FC" w:rsidP="00D262FC"/>
          <w:p w:rsidR="00D262FC" w:rsidRDefault="00D262FC" w:rsidP="00D262FC"/>
          <w:p w:rsidR="00C37080" w:rsidRDefault="00C37080" w:rsidP="00CA4238">
            <w:pPr>
              <w:pStyle w:val="ListParagraph"/>
              <w:numPr>
                <w:ilvl w:val="0"/>
                <w:numId w:val="3"/>
              </w:numPr>
            </w:pPr>
            <w:r>
              <w:t xml:space="preserve">It was also determined that the </w:t>
            </w:r>
            <w:r w:rsidR="00D262FC">
              <w:t xml:space="preserve">newly hired </w:t>
            </w:r>
            <w:r>
              <w:t>adjunct professors had not received any formal training on how to develop online modules for the students.  As a result, they did not have the technical expertise needed to successfully integrate the components of the module which left the students feeling frustrated</w:t>
            </w:r>
            <w:r w:rsidR="004A54B2">
              <w:t xml:space="preserve"> with the technology itself.</w:t>
            </w:r>
            <w:r>
              <w:t xml:space="preserve"> </w:t>
            </w:r>
          </w:p>
          <w:p w:rsidR="004A54B2" w:rsidRDefault="004A54B2" w:rsidP="004A54B2">
            <w:pPr>
              <w:pStyle w:val="ListParagraph"/>
            </w:pPr>
          </w:p>
          <w:p w:rsidR="004A54B2" w:rsidRDefault="004A54B2" w:rsidP="004A54B2">
            <w:pPr>
              <w:ind w:left="360"/>
            </w:pPr>
            <w:r>
              <w:t>As the Director of Online Learning at SRSC the following options have been recommended from an instructional design perspective.</w:t>
            </w:r>
          </w:p>
          <w:p w:rsidR="00CA4238" w:rsidRDefault="004A54B2" w:rsidP="00CA4238">
            <w:pPr>
              <w:pStyle w:val="ListParagraph"/>
              <w:numPr>
                <w:ilvl w:val="0"/>
                <w:numId w:val="3"/>
              </w:numPr>
            </w:pPr>
            <w:r>
              <w:t>Based on the needs analysis</w:t>
            </w:r>
            <w:r w:rsidR="00CA4238">
              <w:t>,</w:t>
            </w:r>
            <w:r>
              <w:t xml:space="preserve"> it was recommended that moving forward, new adjuncts with less than 3 three years of experience should co-teach online classes with an experienced full-time college professor.</w:t>
            </w:r>
          </w:p>
          <w:p w:rsidR="004A54B2" w:rsidRDefault="00CA4238" w:rsidP="00CA4238">
            <w:pPr>
              <w:pStyle w:val="ListParagraph"/>
              <w:numPr>
                <w:ilvl w:val="0"/>
                <w:numId w:val="3"/>
              </w:numPr>
            </w:pPr>
            <w:r>
              <w:t xml:space="preserve">Furthermore, </w:t>
            </w:r>
            <w:r w:rsidR="004A54B2">
              <w:t xml:space="preserve">it was recommended that all instructors receive formal training on how to conduct the online modules. </w:t>
            </w:r>
          </w:p>
          <w:p w:rsidR="00CA4238" w:rsidRDefault="004A54B2" w:rsidP="00CA4238">
            <w:pPr>
              <w:pStyle w:val="ListParagraph"/>
              <w:numPr>
                <w:ilvl w:val="0"/>
                <w:numId w:val="3"/>
              </w:numPr>
            </w:pPr>
            <w:r>
              <w:t xml:space="preserve"> In addition, live webinars and online tutorials will be accessible to the instructional staff </w:t>
            </w:r>
            <w:r w:rsidR="00CB05CB">
              <w:t>for additional support.</w:t>
            </w:r>
          </w:p>
          <w:p w:rsidR="00CB05CB" w:rsidRDefault="00CB05CB" w:rsidP="00CB05CB">
            <w:pPr>
              <w:pStyle w:val="ListParagraph"/>
              <w:numPr>
                <w:ilvl w:val="0"/>
                <w:numId w:val="3"/>
              </w:numPr>
            </w:pPr>
            <w:r>
              <w:t xml:space="preserve">Involving the assistance of a subject matter expert is also strongly recommended during the task analysis process.  In doing so, the SME will assist in gathering the necessary information about the </w:t>
            </w:r>
            <w:r w:rsidR="00341DAB">
              <w:t>content and</w:t>
            </w:r>
            <w:r>
              <w:t xml:space="preserve">/or tasks that will be used to develop instruction (Brown &amp; Green, p. 63). </w:t>
            </w:r>
          </w:p>
          <w:p w:rsidR="00341DAB" w:rsidRDefault="00341DAB" w:rsidP="006A3CA7">
            <w:pPr>
              <w:pStyle w:val="ListParagraph"/>
              <w:numPr>
                <w:ilvl w:val="0"/>
                <w:numId w:val="3"/>
              </w:numPr>
            </w:pPr>
            <w:r>
              <w:t xml:space="preserve">Given the limited resources, the Director of Online Learning at SRSC should carry out the roles and functions of an instructional designer </w:t>
            </w:r>
            <w:proofErr w:type="gramStart"/>
            <w:r>
              <w:t xml:space="preserve">using  </w:t>
            </w:r>
            <w:proofErr w:type="spellStart"/>
            <w:r>
              <w:t>Jonassen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Hannum</w:t>
            </w:r>
            <w:proofErr w:type="spellEnd"/>
            <w:r>
              <w:t xml:space="preserve">, and </w:t>
            </w:r>
            <w:proofErr w:type="spellStart"/>
            <w:r>
              <w:t>Tessmer</w:t>
            </w:r>
            <w:r w:rsidR="006A3CA7">
              <w:t>’s</w:t>
            </w:r>
            <w:proofErr w:type="spellEnd"/>
            <w:r w:rsidR="006A3CA7">
              <w:t xml:space="preserve"> </w:t>
            </w:r>
            <w:r>
              <w:t>Model of task analysis (Brown &amp; Green, p. 58).</w:t>
            </w:r>
          </w:p>
        </w:tc>
      </w:tr>
    </w:tbl>
    <w:p w:rsidR="00AA660D" w:rsidRDefault="00AA660D"/>
    <w:tbl>
      <w:tblPr>
        <w:tblStyle w:val="TableGrid"/>
        <w:tblpPr w:leftFromText="180" w:rightFromText="180" w:vertAnchor="text" w:horzAnchor="margin" w:tblpY="233"/>
        <w:tblW w:w="9828" w:type="dxa"/>
        <w:tblLook w:val="04A0"/>
      </w:tblPr>
      <w:tblGrid>
        <w:gridCol w:w="2538"/>
        <w:gridCol w:w="7290"/>
      </w:tblGrid>
      <w:tr w:rsidR="00A22428" w:rsidRPr="00AA660D" w:rsidTr="00A22428">
        <w:tc>
          <w:tcPr>
            <w:tcW w:w="2538" w:type="dxa"/>
            <w:shd w:val="clear" w:color="auto" w:fill="F2DBDB" w:themeFill="accent2" w:themeFillTint="33"/>
          </w:tcPr>
          <w:p w:rsidR="00A22428" w:rsidRDefault="00A22428" w:rsidP="00A22428">
            <w:pPr>
              <w:rPr>
                <w:b/>
              </w:rPr>
            </w:pPr>
            <w:r>
              <w:rPr>
                <w:b/>
              </w:rPr>
              <w:t>CASE STUDY #2:</w:t>
            </w:r>
          </w:p>
          <w:p w:rsidR="00A22428" w:rsidRPr="00C1545B" w:rsidRDefault="00A22428" w:rsidP="00A22428">
            <w:r w:rsidRPr="00C1545B">
              <w:t>A Dilemma Case in Teaching</w:t>
            </w:r>
          </w:p>
        </w:tc>
        <w:tc>
          <w:tcPr>
            <w:tcW w:w="7290" w:type="dxa"/>
            <w:shd w:val="clear" w:color="auto" w:fill="F2DBDB" w:themeFill="accent2" w:themeFillTint="33"/>
          </w:tcPr>
          <w:p w:rsidR="00A22428" w:rsidRPr="00AA660D" w:rsidRDefault="00A22428" w:rsidP="00A22428">
            <w:pPr>
              <w:rPr>
                <w:b/>
              </w:rPr>
            </w:pPr>
          </w:p>
        </w:tc>
      </w:tr>
      <w:tr w:rsidR="00A22428" w:rsidRPr="00AA660D" w:rsidTr="00A22428">
        <w:tc>
          <w:tcPr>
            <w:tcW w:w="2538" w:type="dxa"/>
            <w:shd w:val="clear" w:color="auto" w:fill="F2DBDB" w:themeFill="accent2" w:themeFillTint="33"/>
          </w:tcPr>
          <w:p w:rsidR="00A22428" w:rsidRPr="00AA660D" w:rsidRDefault="00A22428" w:rsidP="00A22428">
            <w:pPr>
              <w:rPr>
                <w:b/>
              </w:rPr>
            </w:pPr>
            <w:r w:rsidRPr="00AA660D">
              <w:rPr>
                <w:b/>
              </w:rPr>
              <w:t>SECTIONS</w:t>
            </w:r>
          </w:p>
        </w:tc>
        <w:tc>
          <w:tcPr>
            <w:tcW w:w="7290" w:type="dxa"/>
            <w:shd w:val="clear" w:color="auto" w:fill="F2DBDB" w:themeFill="accent2" w:themeFillTint="33"/>
          </w:tcPr>
          <w:p w:rsidR="00A22428" w:rsidRPr="00AA660D" w:rsidRDefault="00A22428" w:rsidP="00A22428">
            <w:pPr>
              <w:rPr>
                <w:b/>
              </w:rPr>
            </w:pPr>
            <w:r w:rsidRPr="00AA660D">
              <w:rPr>
                <w:b/>
              </w:rPr>
              <w:t>CRITERIA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OVERVIEW</w:t>
            </w:r>
          </w:p>
        </w:tc>
        <w:tc>
          <w:tcPr>
            <w:tcW w:w="7290" w:type="dxa"/>
          </w:tcPr>
          <w:p w:rsidR="00A22428" w:rsidRDefault="00A22428" w:rsidP="00A22428">
            <w:r>
              <w:t xml:space="preserve">Current Situation: The students in Paul Seymour’s Molecular Evolution course were not satisfied with the new teaching methodology that had been introduced.  The students were not used to working collaboratively and preferred a different mode of instruction.  As a result, the students did not rate the course favorably.  </w:t>
            </w:r>
          </w:p>
          <w:p w:rsidR="00A22428" w:rsidRDefault="00A22428" w:rsidP="00A22428"/>
          <w:p w:rsidR="00A22428" w:rsidRDefault="00A22428" w:rsidP="00A22428">
            <w:r w:rsidRPr="00FD5109">
              <w:rPr>
                <w:b/>
              </w:rPr>
              <w:t>Challenge:</w:t>
            </w:r>
            <w:r>
              <w:t xml:space="preserve">  Paul Seymour, a professor at the State University of Chicago, has not been able to successfully incorporate the discussion method of teaching Advanced Molecular Biology.   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NEEDS ANALYSIS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8"/>
              </w:numPr>
            </w:pPr>
            <w:r>
              <w:t>It would appear that the students at the State University of Chicago are more comfortable with a more traditional method of teaching.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8"/>
              </w:numPr>
            </w:pPr>
            <w:proofErr w:type="gramStart"/>
            <w:r>
              <w:t>A full-scale needs</w:t>
            </w:r>
            <w:proofErr w:type="gramEnd"/>
            <w:r>
              <w:t xml:space="preserve"> analysis will not be needed since the survey results have been gathered and the problem has been determined. </w:t>
            </w:r>
          </w:p>
          <w:p w:rsidR="006A3CA7" w:rsidRDefault="006A3CA7" w:rsidP="006A3CA7"/>
          <w:p w:rsidR="006A3CA7" w:rsidRDefault="006A3CA7" w:rsidP="006A3CA7"/>
          <w:p w:rsidR="00A22428" w:rsidRDefault="00A22428" w:rsidP="00A22428">
            <w:pPr>
              <w:pStyle w:val="ListParagraph"/>
              <w:numPr>
                <w:ilvl w:val="0"/>
                <w:numId w:val="8"/>
              </w:numPr>
            </w:pPr>
            <w:r>
              <w:t>It would benefit Dr. Seymour to conduct student interviews with focus groups to obtain first-hand knowledge of some of the issues and concerns that need to be addressed.</w:t>
            </w:r>
          </w:p>
          <w:p w:rsidR="00A22428" w:rsidRDefault="00A22428" w:rsidP="006A3CA7">
            <w:pPr>
              <w:pStyle w:val="ListParagraph"/>
              <w:numPr>
                <w:ilvl w:val="0"/>
                <w:numId w:val="8"/>
              </w:numPr>
            </w:pPr>
            <w:r>
              <w:t xml:space="preserve">It would be equally beneficial to consult with other members of the faculty to get a better sense of the climate and culture of the school.  They may also be able to make recommendations for introducing the new method of teaching. 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lastRenderedPageBreak/>
              <w:t>TASK ANALYSIS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9"/>
              </w:numPr>
            </w:pPr>
            <w:r>
              <w:t>The students in Dr. Seymour’s class need to be exposed to working in collaborative groups.  After all, as pre-med students, they</w:t>
            </w:r>
            <w:r w:rsidR="006A3CA7">
              <w:t xml:space="preserve"> will need to work collectively </w:t>
            </w:r>
            <w:r>
              <w:t xml:space="preserve">with medical teams.  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Jonassen</w:t>
            </w:r>
            <w:proofErr w:type="spellEnd"/>
            <w:r>
              <w:t xml:space="preserve">, </w:t>
            </w:r>
            <w:proofErr w:type="spellStart"/>
            <w:r>
              <w:t>Hannum</w:t>
            </w:r>
            <w:proofErr w:type="spellEnd"/>
            <w:r>
              <w:t xml:space="preserve">, and </w:t>
            </w:r>
            <w:proofErr w:type="spellStart"/>
            <w:r>
              <w:t>Tessmer</w:t>
            </w:r>
            <w:r w:rsidR="006A3CA7">
              <w:t>’s</w:t>
            </w:r>
            <w:proofErr w:type="spellEnd"/>
            <w:r>
              <w:t xml:space="preserve"> Model of task analysis should be employed in order to gain an in-depth understanding of the performance problem (Brown &amp; Green, p. 58).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LEARNER ANALYSIS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7"/>
              </w:numPr>
            </w:pPr>
            <w:r>
              <w:t xml:space="preserve">Conduct a learner analysis to develop a clear understanding of the target audience based on </w:t>
            </w:r>
            <w:proofErr w:type="spellStart"/>
            <w:r>
              <w:t>Mager’s</w:t>
            </w:r>
            <w:proofErr w:type="spellEnd"/>
            <w:r>
              <w:t xml:space="preserve"> approach to analyzing learners (Brown &amp; Green, p. 76).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GOALS/OBJECTIVES</w:t>
            </w:r>
          </w:p>
        </w:tc>
        <w:tc>
          <w:tcPr>
            <w:tcW w:w="7290" w:type="dxa"/>
          </w:tcPr>
          <w:p w:rsidR="00A22428" w:rsidRDefault="00A22428" w:rsidP="00A22428">
            <w:r>
              <w:t>The desired outcome of this case study is to successfully introduce a new te</w:t>
            </w:r>
            <w:r w:rsidR="006A3CA7">
              <w:t>aching methodology</w:t>
            </w:r>
            <w:r>
              <w:t xml:space="preserve"> into the existing curriculum.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7"/>
              </w:numPr>
            </w:pPr>
            <w:r>
              <w:t>The students will share diverse perspectives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7"/>
              </w:numPr>
            </w:pPr>
            <w:r>
              <w:t>The students will develop new approaches to resolving differences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7"/>
              </w:numPr>
            </w:pPr>
            <w:r>
              <w:t>The students will establish a shared identity with other group members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7"/>
              </w:numPr>
            </w:pPr>
            <w:r>
              <w:t>The students will develop their own voice in relation to their peers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OPTIONS FOR CONSIDERATION</w:t>
            </w:r>
          </w:p>
        </w:tc>
        <w:tc>
          <w:tcPr>
            <w:tcW w:w="7290" w:type="dxa"/>
          </w:tcPr>
          <w:p w:rsidR="00A22428" w:rsidRDefault="00A22428" w:rsidP="00A22428">
            <w:r>
              <w:t>Proposal: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t xml:space="preserve">Dr. Seymour should create opportunities to collaborate with the instructional staff at his university as a means of reflecting on teaching and student learning.  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t>A review of relevant literature and “best practices” should be researched.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t xml:space="preserve">Dr. Seymour should reconsider his approach to introducing the new teaching method.  Instead of relying heavily on 50% of the group scores, he should lower the percentage to 20% until he has mastered the instructional practice.  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BENEFITS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11"/>
              </w:numPr>
            </w:pPr>
            <w:r>
              <w:t>By collaborating with the instructional staff, Dr. Seymour can create a professional network that will serve as a support system.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11"/>
              </w:numPr>
            </w:pPr>
            <w:r>
              <w:t>By reviewing the relevant literature, “best practices” can be modeled and adopted.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DOWNSIDES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12"/>
              </w:numPr>
            </w:pPr>
            <w:r>
              <w:t xml:space="preserve">The downside of introducing a new teaching methodology in the Molecular Evolution course is that it is quite possible that it may not be the right fit.  Pre-med students who are looking ahead to the MCATS may need a methodology better suited to meet their needs.  </w:t>
            </w:r>
          </w:p>
        </w:tc>
      </w:tr>
      <w:tr w:rsidR="00A22428" w:rsidTr="00A22428">
        <w:tc>
          <w:tcPr>
            <w:tcW w:w="2538" w:type="dxa"/>
          </w:tcPr>
          <w:p w:rsidR="00A22428" w:rsidRDefault="00A22428" w:rsidP="00A22428">
            <w:r>
              <w:t>OPTIONS RECOMMENDED</w:t>
            </w:r>
          </w:p>
        </w:tc>
        <w:tc>
          <w:tcPr>
            <w:tcW w:w="7290" w:type="dxa"/>
          </w:tcPr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t xml:space="preserve">The staff should create Professional Learning Communities </w:t>
            </w:r>
            <w:r>
              <w:t>as a mean</w:t>
            </w:r>
            <w:r>
              <w:t>s of reflecting on effective teaching practices.</w:t>
            </w:r>
          </w:p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t>A review of relevant literature and “best practices” should be researched.</w:t>
            </w:r>
          </w:p>
          <w:p w:rsidR="006A3CA7" w:rsidRDefault="006A3CA7" w:rsidP="006A3CA7"/>
          <w:p w:rsidR="00A22428" w:rsidRDefault="00A22428" w:rsidP="00A22428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 xml:space="preserve">Instead of relying heavily on 50% of the group scores, </w:t>
            </w:r>
            <w:r>
              <w:t xml:space="preserve">Dr. Seymour </w:t>
            </w:r>
            <w:r>
              <w:t xml:space="preserve">should lower the percentage to 20% until </w:t>
            </w:r>
            <w:r>
              <w:t xml:space="preserve">the instructional practice has been </w:t>
            </w:r>
            <w:r>
              <w:t>mastered</w:t>
            </w:r>
            <w:r>
              <w:t>.</w:t>
            </w:r>
            <w:r>
              <w:t xml:space="preserve">  </w:t>
            </w:r>
          </w:p>
        </w:tc>
      </w:tr>
    </w:tbl>
    <w:p w:rsidR="00A22428" w:rsidRDefault="00A22428" w:rsidP="00A22428">
      <w:pPr>
        <w:jc w:val="center"/>
      </w:pPr>
    </w:p>
    <w:p w:rsidR="00A22428" w:rsidRDefault="00A22428" w:rsidP="00A22428">
      <w:pPr>
        <w:jc w:val="center"/>
      </w:pPr>
      <w:r>
        <w:t>References</w:t>
      </w:r>
    </w:p>
    <w:p w:rsidR="00D262FC" w:rsidRDefault="00D262FC" w:rsidP="00D262FC">
      <w:proofErr w:type="gramStart"/>
      <w:r>
        <w:t>Brown, A. and Green, T. (2011).</w:t>
      </w:r>
      <w:proofErr w:type="gramEnd"/>
      <w:r>
        <w:t xml:space="preserve"> The essentials of instructional design: Connecting fundamental principles with process and practice (2</w:t>
      </w:r>
      <w:r w:rsidRPr="00D262FC">
        <w:rPr>
          <w:vertAlign w:val="superscript"/>
        </w:rPr>
        <w:t>nd</w:t>
      </w:r>
      <w:r>
        <w:t xml:space="preserve"> edition). Pearson Education, Inc. Boston, MA.</w:t>
      </w:r>
    </w:p>
    <w:p w:rsidR="00D262FC" w:rsidRDefault="00D262FC" w:rsidP="00A2242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262FC" w:rsidRDefault="00D262FC" w:rsidP="00A2242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262FC" w:rsidRDefault="00D262FC" w:rsidP="00A2242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sectPr w:rsidR="00D262FC" w:rsidSect="00926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E35"/>
    <w:multiLevelType w:val="hybridMultilevel"/>
    <w:tmpl w:val="D39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3474"/>
    <w:multiLevelType w:val="hybridMultilevel"/>
    <w:tmpl w:val="286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7BEF"/>
    <w:multiLevelType w:val="hybridMultilevel"/>
    <w:tmpl w:val="AEAA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45E4"/>
    <w:multiLevelType w:val="hybridMultilevel"/>
    <w:tmpl w:val="EB54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04D2"/>
    <w:multiLevelType w:val="hybridMultilevel"/>
    <w:tmpl w:val="BCCA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E2B82"/>
    <w:multiLevelType w:val="hybridMultilevel"/>
    <w:tmpl w:val="C38C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81D4B"/>
    <w:multiLevelType w:val="hybridMultilevel"/>
    <w:tmpl w:val="B9D2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528EF"/>
    <w:multiLevelType w:val="hybridMultilevel"/>
    <w:tmpl w:val="B23C1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52D71"/>
    <w:multiLevelType w:val="hybridMultilevel"/>
    <w:tmpl w:val="3916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23718"/>
    <w:multiLevelType w:val="hybridMultilevel"/>
    <w:tmpl w:val="888A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C14A1"/>
    <w:multiLevelType w:val="hybridMultilevel"/>
    <w:tmpl w:val="0E2A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7045C"/>
    <w:multiLevelType w:val="hybridMultilevel"/>
    <w:tmpl w:val="C30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20"/>
  <w:characterSpacingControl w:val="doNotCompress"/>
  <w:compat/>
  <w:rsids>
    <w:rsidRoot w:val="00E709A1"/>
    <w:rsid w:val="00024E01"/>
    <w:rsid w:val="00034033"/>
    <w:rsid w:val="00100670"/>
    <w:rsid w:val="00137028"/>
    <w:rsid w:val="00137BB7"/>
    <w:rsid w:val="00170B30"/>
    <w:rsid w:val="00341DAB"/>
    <w:rsid w:val="00436F91"/>
    <w:rsid w:val="004A54B2"/>
    <w:rsid w:val="004D5B6C"/>
    <w:rsid w:val="004F3B0C"/>
    <w:rsid w:val="005E6718"/>
    <w:rsid w:val="00647B63"/>
    <w:rsid w:val="00667BA6"/>
    <w:rsid w:val="00690B18"/>
    <w:rsid w:val="006A3CA7"/>
    <w:rsid w:val="006B4153"/>
    <w:rsid w:val="00926B3F"/>
    <w:rsid w:val="00937971"/>
    <w:rsid w:val="009F44A7"/>
    <w:rsid w:val="00A22428"/>
    <w:rsid w:val="00A96EAE"/>
    <w:rsid w:val="00AA548D"/>
    <w:rsid w:val="00AA660D"/>
    <w:rsid w:val="00AB2F90"/>
    <w:rsid w:val="00AC0CD9"/>
    <w:rsid w:val="00BF0657"/>
    <w:rsid w:val="00C1545B"/>
    <w:rsid w:val="00C37080"/>
    <w:rsid w:val="00C6167B"/>
    <w:rsid w:val="00C87354"/>
    <w:rsid w:val="00C90A3E"/>
    <w:rsid w:val="00CA4238"/>
    <w:rsid w:val="00CB05CB"/>
    <w:rsid w:val="00CB72B4"/>
    <w:rsid w:val="00D262FC"/>
    <w:rsid w:val="00DD1314"/>
    <w:rsid w:val="00DE5CDE"/>
    <w:rsid w:val="00E13F0E"/>
    <w:rsid w:val="00E709A1"/>
    <w:rsid w:val="00F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AA66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A66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A66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16B175-0236-439B-BD8E-43C563B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SCHOOL_USER</dc:creator>
  <cp:lastModifiedBy>SCHOOL_USER</cp:lastModifiedBy>
  <cp:revision>6</cp:revision>
  <dcterms:created xsi:type="dcterms:W3CDTF">2015-08-02T18:22:00Z</dcterms:created>
  <dcterms:modified xsi:type="dcterms:W3CDTF">2015-08-03T03:01:00Z</dcterms:modified>
</cp:coreProperties>
</file>