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14" w:rsidRDefault="00435D14"/>
    <w:p w:rsidR="005A6BC7" w:rsidRPr="00AB7C4D" w:rsidRDefault="005A6BC7" w:rsidP="00435D14">
      <w:pPr>
        <w:spacing w:after="120"/>
        <w:rPr>
          <w:rFonts w:ascii="Times New Roman" w:hAnsi="Times New Roman" w:cs="Times New Roman"/>
        </w:rPr>
      </w:pPr>
      <w:r w:rsidRPr="00AB7C4D">
        <w:rPr>
          <w:rFonts w:ascii="Times New Roman" w:hAnsi="Times New Roman" w:cs="Times New Roman"/>
        </w:rPr>
        <w:t xml:space="preserve">To: </w:t>
      </w:r>
      <w:r w:rsidR="002C7D51" w:rsidRPr="00AB7C4D">
        <w:rPr>
          <w:rFonts w:ascii="Times New Roman" w:hAnsi="Times New Roman" w:cs="Times New Roman"/>
        </w:rPr>
        <w:tab/>
      </w:r>
      <w:r w:rsidR="002C7D51" w:rsidRPr="00AB7C4D">
        <w:rPr>
          <w:rFonts w:ascii="Times New Roman" w:hAnsi="Times New Roman" w:cs="Times New Roman"/>
        </w:rPr>
        <w:tab/>
      </w:r>
      <w:proofErr w:type="spellStart"/>
      <w:r w:rsidRPr="00AB7C4D">
        <w:rPr>
          <w:rFonts w:ascii="Times New Roman" w:hAnsi="Times New Roman" w:cs="Times New Roman"/>
        </w:rPr>
        <w:t>Cordelia</w:t>
      </w:r>
      <w:proofErr w:type="spellEnd"/>
      <w:r w:rsidRPr="00AB7C4D">
        <w:rPr>
          <w:rFonts w:ascii="Times New Roman" w:hAnsi="Times New Roman" w:cs="Times New Roman"/>
        </w:rPr>
        <w:t xml:space="preserve"> </w:t>
      </w:r>
      <w:proofErr w:type="spellStart"/>
      <w:r w:rsidRPr="00AB7C4D">
        <w:rPr>
          <w:rFonts w:ascii="Times New Roman" w:hAnsi="Times New Roman" w:cs="Times New Roman"/>
        </w:rPr>
        <w:t>Twomey</w:t>
      </w:r>
      <w:proofErr w:type="spellEnd"/>
    </w:p>
    <w:p w:rsidR="00624FB0" w:rsidRPr="00AB7C4D" w:rsidRDefault="00624FB0" w:rsidP="00435D14">
      <w:pPr>
        <w:spacing w:after="120"/>
        <w:rPr>
          <w:rFonts w:ascii="Times New Roman" w:hAnsi="Times New Roman" w:cs="Times New Roman"/>
        </w:rPr>
      </w:pPr>
      <w:r w:rsidRPr="00AB7C4D">
        <w:rPr>
          <w:rFonts w:ascii="Times New Roman" w:hAnsi="Times New Roman" w:cs="Times New Roman"/>
        </w:rPr>
        <w:t>From:</w:t>
      </w:r>
      <w:r w:rsidRPr="00AB7C4D">
        <w:rPr>
          <w:rFonts w:ascii="Times New Roman" w:hAnsi="Times New Roman" w:cs="Times New Roman"/>
        </w:rPr>
        <w:tab/>
      </w:r>
      <w:r w:rsidR="0051687B" w:rsidRPr="00AB7C4D">
        <w:rPr>
          <w:rFonts w:ascii="Times New Roman" w:hAnsi="Times New Roman" w:cs="Times New Roman"/>
        </w:rPr>
        <w:t xml:space="preserve">     </w:t>
      </w:r>
      <w:r w:rsidR="0051687B" w:rsidRPr="00AB7C4D">
        <w:rPr>
          <w:rFonts w:ascii="Times New Roman" w:hAnsi="Times New Roman" w:cs="Times New Roman"/>
        </w:rPr>
        <w:tab/>
      </w:r>
      <w:r w:rsidRPr="00AB7C4D">
        <w:rPr>
          <w:rFonts w:ascii="Times New Roman" w:hAnsi="Times New Roman" w:cs="Times New Roman"/>
        </w:rPr>
        <w:t>Martha Osei-Yaw</w:t>
      </w:r>
    </w:p>
    <w:p w:rsidR="002C7D51" w:rsidRPr="00AB7C4D" w:rsidRDefault="002C7D51" w:rsidP="00435D14">
      <w:pPr>
        <w:spacing w:after="120"/>
        <w:rPr>
          <w:rFonts w:ascii="Times New Roman" w:hAnsi="Times New Roman" w:cs="Times New Roman"/>
        </w:rPr>
      </w:pPr>
      <w:r w:rsidRPr="00AB7C4D">
        <w:rPr>
          <w:rFonts w:ascii="Times New Roman" w:hAnsi="Times New Roman" w:cs="Times New Roman"/>
        </w:rPr>
        <w:t>D</w:t>
      </w:r>
      <w:r w:rsidR="005A6BC7" w:rsidRPr="00AB7C4D">
        <w:rPr>
          <w:rFonts w:ascii="Times New Roman" w:hAnsi="Times New Roman" w:cs="Times New Roman"/>
        </w:rPr>
        <w:t xml:space="preserve">ate: </w:t>
      </w:r>
      <w:r w:rsidRPr="00AB7C4D">
        <w:rPr>
          <w:rFonts w:ascii="Times New Roman" w:hAnsi="Times New Roman" w:cs="Times New Roman"/>
        </w:rPr>
        <w:tab/>
      </w:r>
      <w:r w:rsidRPr="00AB7C4D">
        <w:rPr>
          <w:rFonts w:ascii="Times New Roman" w:hAnsi="Times New Roman" w:cs="Times New Roman"/>
        </w:rPr>
        <w:tab/>
      </w:r>
      <w:r w:rsidR="005A6BC7" w:rsidRPr="00AB7C4D">
        <w:rPr>
          <w:rFonts w:ascii="Times New Roman" w:hAnsi="Times New Roman" w:cs="Times New Roman"/>
        </w:rPr>
        <w:t>July 2</w:t>
      </w:r>
      <w:r w:rsidR="00624FB0" w:rsidRPr="00AB7C4D">
        <w:rPr>
          <w:rFonts w:ascii="Times New Roman" w:hAnsi="Times New Roman" w:cs="Times New Roman"/>
        </w:rPr>
        <w:t>4</w:t>
      </w:r>
      <w:r w:rsidR="005A6BC7" w:rsidRPr="00AB7C4D">
        <w:rPr>
          <w:rFonts w:ascii="Times New Roman" w:hAnsi="Times New Roman" w:cs="Times New Roman"/>
        </w:rPr>
        <w:t>, 2014</w:t>
      </w:r>
    </w:p>
    <w:p w:rsidR="00AB7C4D" w:rsidRDefault="002C7D51" w:rsidP="00AB7C4D">
      <w:pPr>
        <w:spacing w:after="120"/>
        <w:ind w:left="1440" w:hanging="1440"/>
        <w:rPr>
          <w:rFonts w:ascii="Times New Roman" w:hAnsi="Times New Roman" w:cs="Times New Roman"/>
        </w:rPr>
      </w:pPr>
      <w:r w:rsidRPr="00AB7C4D">
        <w:rPr>
          <w:rFonts w:ascii="Times New Roman" w:hAnsi="Times New Roman" w:cs="Times New Roman"/>
        </w:rPr>
        <w:t>Subject:</w:t>
      </w:r>
      <w:r w:rsidRPr="00AB7C4D">
        <w:rPr>
          <w:rFonts w:ascii="Times New Roman" w:hAnsi="Times New Roman" w:cs="Times New Roman"/>
        </w:rPr>
        <w:tab/>
      </w:r>
      <w:r w:rsidR="00624FB0" w:rsidRPr="00AB7C4D">
        <w:rPr>
          <w:rFonts w:ascii="Times New Roman" w:hAnsi="Times New Roman" w:cs="Times New Roman"/>
        </w:rPr>
        <w:t xml:space="preserve">US Labor Force Participation Rates by Gender and Educational Attainment in </w:t>
      </w:r>
      <w:r w:rsidRPr="00AB7C4D">
        <w:rPr>
          <w:rFonts w:ascii="Times New Roman" w:hAnsi="Times New Roman" w:cs="Times New Roman"/>
        </w:rPr>
        <w:t>2010</w:t>
      </w:r>
    </w:p>
    <w:p w:rsidR="00AB7C4D" w:rsidRDefault="00AB7C4D" w:rsidP="00AB7C4D">
      <w:pPr>
        <w:spacing w:after="120"/>
        <w:ind w:left="1440" w:hanging="1440"/>
        <w:rPr>
          <w:rFonts w:ascii="Times New Roman" w:hAnsi="Times New Roman" w:cs="Times New Roman"/>
        </w:rPr>
      </w:pPr>
    </w:p>
    <w:p w:rsidR="00895876" w:rsidRDefault="0051687B" w:rsidP="00895876">
      <w:pPr>
        <w:ind w:left="1440" w:hanging="1440"/>
        <w:rPr>
          <w:rFonts w:ascii="Times New Roman" w:hAnsi="Times New Roman" w:cs="Times New Roman"/>
        </w:rPr>
      </w:pPr>
      <w:r w:rsidRPr="00AB7C4D">
        <w:rPr>
          <w:rFonts w:ascii="Times New Roman" w:hAnsi="Times New Roman" w:cs="Times New Roman"/>
        </w:rPr>
        <w:t>This</w:t>
      </w:r>
      <w:r w:rsidR="001C1FC0">
        <w:rPr>
          <w:rFonts w:ascii="Times New Roman" w:hAnsi="Times New Roman" w:cs="Times New Roman"/>
        </w:rPr>
        <w:t xml:space="preserve"> graph</w:t>
      </w:r>
      <w:r w:rsidR="008F3129" w:rsidRPr="00AB7C4D">
        <w:rPr>
          <w:rFonts w:ascii="Times New Roman" w:hAnsi="Times New Roman" w:cs="Times New Roman"/>
        </w:rPr>
        <w:t xml:space="preserve"> demonstrates that males</w:t>
      </w:r>
      <w:r w:rsidR="00EC16F1">
        <w:rPr>
          <w:rFonts w:ascii="Times New Roman" w:hAnsi="Times New Roman" w:cs="Times New Roman"/>
        </w:rPr>
        <w:t xml:space="preserve"> </w:t>
      </w:r>
      <w:r w:rsidR="008F3129" w:rsidRPr="00AB7C4D">
        <w:rPr>
          <w:rFonts w:ascii="Times New Roman" w:hAnsi="Times New Roman" w:cs="Times New Roman"/>
        </w:rPr>
        <w:t xml:space="preserve">participated in the </w:t>
      </w:r>
      <w:r w:rsidR="00AB7C4D">
        <w:rPr>
          <w:rFonts w:ascii="Times New Roman" w:hAnsi="Times New Roman" w:cs="Times New Roman"/>
        </w:rPr>
        <w:t xml:space="preserve">labor force </w:t>
      </w:r>
      <w:r w:rsidR="001C1FC0">
        <w:rPr>
          <w:rFonts w:ascii="Times New Roman" w:hAnsi="Times New Roman" w:cs="Times New Roman"/>
        </w:rPr>
        <w:t xml:space="preserve">at a </w:t>
      </w:r>
      <w:r w:rsidR="00895876">
        <w:rPr>
          <w:rFonts w:ascii="Times New Roman" w:hAnsi="Times New Roman" w:cs="Times New Roman"/>
        </w:rPr>
        <w:t xml:space="preserve">higher rate as </w:t>
      </w:r>
    </w:p>
    <w:p w:rsidR="00895876" w:rsidRDefault="000E73D0" w:rsidP="00895876">
      <w:pPr>
        <w:ind w:left="1440" w:hanging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compared</w:t>
      </w:r>
      <w:proofErr w:type="gramEnd"/>
      <w:r>
        <w:rPr>
          <w:rFonts w:ascii="Times New Roman" w:hAnsi="Times New Roman" w:cs="Times New Roman"/>
        </w:rPr>
        <w:t xml:space="preserve"> to </w:t>
      </w:r>
      <w:r w:rsidR="001C1FC0">
        <w:rPr>
          <w:rFonts w:ascii="Times New Roman" w:hAnsi="Times New Roman" w:cs="Times New Roman"/>
        </w:rPr>
        <w:t>their female counterparts</w:t>
      </w:r>
      <w:r>
        <w:rPr>
          <w:rFonts w:ascii="Times New Roman" w:hAnsi="Times New Roman" w:cs="Times New Roman"/>
        </w:rPr>
        <w:t xml:space="preserve"> in 2010.  This </w:t>
      </w:r>
      <w:r w:rsidR="001C1FC0">
        <w:rPr>
          <w:rFonts w:ascii="Times New Roman" w:hAnsi="Times New Roman" w:cs="Times New Roman"/>
        </w:rPr>
        <w:t>data represents the civilian non-</w:t>
      </w:r>
    </w:p>
    <w:p w:rsidR="00895876" w:rsidRDefault="000E73D0" w:rsidP="00895876">
      <w:pPr>
        <w:ind w:left="1440" w:hanging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institutional</w:t>
      </w:r>
      <w:proofErr w:type="gramEnd"/>
      <w:r>
        <w:rPr>
          <w:rFonts w:ascii="Times New Roman" w:hAnsi="Times New Roman" w:cs="Times New Roman"/>
        </w:rPr>
        <w:t xml:space="preserve"> po</w:t>
      </w:r>
      <w:r w:rsidR="00C23275">
        <w:rPr>
          <w:rFonts w:ascii="Times New Roman" w:hAnsi="Times New Roman" w:cs="Times New Roman"/>
        </w:rPr>
        <w:t>pulation 25 years old and over according to educational attainment.</w:t>
      </w:r>
    </w:p>
    <w:p w:rsidR="00435D14" w:rsidRPr="00AB7C4D" w:rsidRDefault="001C1FC0" w:rsidP="00895876">
      <w:pPr>
        <w:ind w:left="1440" w:hanging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(See </w:t>
      </w:r>
      <w:r w:rsidR="008F3129" w:rsidRPr="00AB7C4D">
        <w:rPr>
          <w:rFonts w:ascii="Times New Roman" w:hAnsi="Times New Roman" w:cs="Times New Roman"/>
        </w:rPr>
        <w:t>Illustration 1.)</w:t>
      </w:r>
      <w:proofErr w:type="gramEnd"/>
    </w:p>
    <w:p w:rsidR="00C23275" w:rsidRDefault="00C23275" w:rsidP="00624FB0">
      <w:pPr>
        <w:rPr>
          <w:b/>
        </w:rPr>
      </w:pPr>
    </w:p>
    <w:p w:rsidR="000E7858" w:rsidRDefault="000E7858" w:rsidP="00624FB0">
      <w:pPr>
        <w:rPr>
          <w:b/>
        </w:rPr>
      </w:pPr>
    </w:p>
    <w:p w:rsidR="00624FB0" w:rsidRDefault="00AB7C4D" w:rsidP="00624FB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Illustration </w:t>
      </w:r>
      <w:r w:rsidR="00624FB0" w:rsidRPr="0051687B">
        <w:rPr>
          <w:rFonts w:ascii="Times New Roman" w:hAnsi="Times New Roman" w:cs="Times New Roman"/>
          <w:b/>
        </w:rPr>
        <w:t>1.</w:t>
      </w:r>
      <w:proofErr w:type="gramEnd"/>
      <w:r w:rsidR="00624FB0" w:rsidRPr="0051687B">
        <w:rPr>
          <w:rFonts w:ascii="Times New Roman" w:hAnsi="Times New Roman" w:cs="Times New Roman"/>
          <w:b/>
        </w:rPr>
        <w:t xml:space="preserve">  </w:t>
      </w:r>
      <w:r w:rsidR="00624FB0" w:rsidRPr="00895876">
        <w:rPr>
          <w:rFonts w:ascii="Times New Roman" w:hAnsi="Times New Roman" w:cs="Times New Roman"/>
        </w:rPr>
        <w:t>US LABOR FORCE PARTICIPATION RATES</w:t>
      </w:r>
    </w:p>
    <w:p w:rsidR="000E7858" w:rsidRPr="0051687B" w:rsidRDefault="000E7858" w:rsidP="00624FB0">
      <w:pPr>
        <w:rPr>
          <w:rFonts w:ascii="Times New Roman" w:hAnsi="Times New Roman" w:cs="Times New Roman"/>
          <w:b/>
        </w:rPr>
      </w:pPr>
    </w:p>
    <w:p w:rsidR="001C3910" w:rsidRPr="0051687B" w:rsidRDefault="0051687B" w:rsidP="00800F81">
      <w:pPr>
        <w:jc w:val="center"/>
        <w:rPr>
          <w:rFonts w:ascii="Times New Roman" w:hAnsi="Times New Roman" w:cs="Times New Roman"/>
        </w:rPr>
      </w:pPr>
      <w:r w:rsidRPr="00624FB0">
        <w:rPr>
          <w:noProof/>
        </w:rPr>
        <w:drawing>
          <wp:inline distT="0" distB="0" distL="0" distR="0">
            <wp:extent cx="5572125" cy="3781425"/>
            <wp:effectExtent l="19050" t="0" r="9525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7858" w:rsidRDefault="006626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1.5pt;margin-top:-.1pt;width:438.75pt;height:.05pt;z-index:251658240" o:connectortype="straight" strokecolor="#4a7ebb" strokeweight="1.5pt">
            <v:shadow on="t" opacity="22938f" offset="0"/>
          </v:shape>
        </w:pict>
      </w:r>
      <w:r w:rsidR="000E7858">
        <w:rPr>
          <w:rFonts w:ascii="Times New Roman" w:hAnsi="Times New Roman" w:cs="Times New Roman"/>
          <w:b/>
        </w:rPr>
        <w:t xml:space="preserve">   </w:t>
      </w:r>
    </w:p>
    <w:p w:rsidR="008F3129" w:rsidRPr="00EC16F1" w:rsidRDefault="00AB7C4D">
      <w:pPr>
        <w:rPr>
          <w:rFonts w:ascii="Times New Roman" w:hAnsi="Times New Roman" w:cs="Times New Roman"/>
        </w:rPr>
      </w:pPr>
      <w:r w:rsidRPr="00EC16F1">
        <w:rPr>
          <w:rFonts w:ascii="Times New Roman" w:hAnsi="Times New Roman" w:cs="Times New Roman"/>
          <w:b/>
        </w:rPr>
        <w:t>Source:</w:t>
      </w:r>
      <w:r w:rsidRPr="00EC16F1">
        <w:rPr>
          <w:rFonts w:ascii="Times New Roman" w:hAnsi="Times New Roman" w:cs="Times New Roman"/>
        </w:rPr>
        <w:t xml:space="preserve"> U.S. Census Bureau, Statistical Abstract of the United States: 2012</w:t>
      </w:r>
    </w:p>
    <w:p w:rsidR="00AB7C4D" w:rsidRDefault="00AB7C4D"/>
    <w:p w:rsidR="00AB7C4D" w:rsidRDefault="00AB7C4D"/>
    <w:p w:rsidR="000E7858" w:rsidRDefault="000E7858">
      <w:pPr>
        <w:rPr>
          <w:rFonts w:ascii="Times New Roman" w:hAnsi="Times New Roman" w:cs="Times New Roman"/>
        </w:rPr>
      </w:pPr>
    </w:p>
    <w:p w:rsidR="00AB7C4D" w:rsidRPr="00EC16F1" w:rsidRDefault="001C1FC0">
      <w:pPr>
        <w:rPr>
          <w:rFonts w:ascii="Times New Roman" w:hAnsi="Times New Roman" w:cs="Times New Roman"/>
        </w:rPr>
      </w:pPr>
      <w:r w:rsidRPr="00EC16F1">
        <w:rPr>
          <w:rFonts w:ascii="Times New Roman" w:hAnsi="Times New Roman" w:cs="Times New Roman"/>
        </w:rPr>
        <w:t>According</w:t>
      </w:r>
      <w:r w:rsidR="00C23C45" w:rsidRPr="00EC16F1">
        <w:rPr>
          <w:rFonts w:ascii="Times New Roman" w:hAnsi="Times New Roman" w:cs="Times New Roman"/>
        </w:rPr>
        <w:t xml:space="preserve"> to the U.S.</w:t>
      </w:r>
      <w:r w:rsidR="009A526B" w:rsidRPr="00EC16F1">
        <w:rPr>
          <w:rFonts w:ascii="Times New Roman" w:hAnsi="Times New Roman" w:cs="Times New Roman"/>
        </w:rPr>
        <w:t xml:space="preserve"> Census Bureau, men entered</w:t>
      </w:r>
      <w:r w:rsidR="00C23C45" w:rsidRPr="00EC16F1">
        <w:rPr>
          <w:rFonts w:ascii="Times New Roman" w:hAnsi="Times New Roman" w:cs="Times New Roman"/>
        </w:rPr>
        <w:t xml:space="preserve"> the work</w:t>
      </w:r>
      <w:r w:rsidR="009A526B" w:rsidRPr="00EC16F1">
        <w:rPr>
          <w:rFonts w:ascii="Times New Roman" w:hAnsi="Times New Roman" w:cs="Times New Roman"/>
        </w:rPr>
        <w:t xml:space="preserve">force much earlier than women in </w:t>
      </w:r>
      <w:r w:rsidR="00C23C45" w:rsidRPr="00EC16F1">
        <w:rPr>
          <w:rFonts w:ascii="Times New Roman" w:hAnsi="Times New Roman" w:cs="Times New Roman"/>
        </w:rPr>
        <w:t>2010</w:t>
      </w:r>
      <w:r w:rsidR="009A526B" w:rsidRPr="00EC16F1">
        <w:rPr>
          <w:rFonts w:ascii="Times New Roman" w:hAnsi="Times New Roman" w:cs="Times New Roman"/>
        </w:rPr>
        <w:t xml:space="preserve">.  The </w:t>
      </w:r>
      <w:r w:rsidR="00F84AFC">
        <w:rPr>
          <w:rFonts w:ascii="Times New Roman" w:hAnsi="Times New Roman" w:cs="Times New Roman"/>
        </w:rPr>
        <w:t xml:space="preserve">data </w:t>
      </w:r>
      <w:r w:rsidR="009A526B" w:rsidRPr="00EC16F1">
        <w:rPr>
          <w:rFonts w:ascii="Times New Roman" w:hAnsi="Times New Roman" w:cs="Times New Roman"/>
        </w:rPr>
        <w:t xml:space="preserve">indicates </w:t>
      </w:r>
      <w:r w:rsidR="00C23C45" w:rsidRPr="00EC16F1">
        <w:rPr>
          <w:rFonts w:ascii="Times New Roman" w:hAnsi="Times New Roman" w:cs="Times New Roman"/>
        </w:rPr>
        <w:t>59.1% of men entered the labor force without having earned their high school diploma as compared to 33.5% of women that same year</w:t>
      </w:r>
      <w:r w:rsidR="009A526B" w:rsidRPr="00EC16F1">
        <w:rPr>
          <w:rFonts w:ascii="Times New Roman" w:hAnsi="Times New Roman" w:cs="Times New Roman"/>
        </w:rPr>
        <w:t xml:space="preserve">.  This </w:t>
      </w:r>
      <w:r w:rsidR="00C23C45" w:rsidRPr="00EC16F1">
        <w:rPr>
          <w:rFonts w:ascii="Times New Roman" w:hAnsi="Times New Roman" w:cs="Times New Roman"/>
        </w:rPr>
        <w:t xml:space="preserve">represents a difference of 25.6%.  </w:t>
      </w:r>
      <w:r w:rsidR="00EC16F1">
        <w:rPr>
          <w:rFonts w:ascii="Times New Roman" w:hAnsi="Times New Roman" w:cs="Times New Roman"/>
        </w:rPr>
        <w:t>Furthermore, t</w:t>
      </w:r>
      <w:r w:rsidR="009A526B" w:rsidRPr="00EC16F1">
        <w:rPr>
          <w:rFonts w:ascii="Times New Roman" w:hAnsi="Times New Roman" w:cs="Times New Roman"/>
        </w:rPr>
        <w:t>he number of men that entered the workforce with only a high school degree was 71.4% which was 19% higher than femal</w:t>
      </w:r>
      <w:r w:rsidR="00EC16F1" w:rsidRPr="00EC16F1">
        <w:rPr>
          <w:rFonts w:ascii="Times New Roman" w:hAnsi="Times New Roman" w:cs="Times New Roman"/>
        </w:rPr>
        <w:t xml:space="preserve">es.  The gap between both genders decreased for those entering the workforce with a high school degree </w:t>
      </w:r>
      <w:r w:rsidR="00680953">
        <w:rPr>
          <w:rFonts w:ascii="Times New Roman" w:hAnsi="Times New Roman" w:cs="Times New Roman"/>
        </w:rPr>
        <w:t xml:space="preserve">and some continuing education. </w:t>
      </w:r>
    </w:p>
    <w:p w:rsidR="00AB7C4D" w:rsidRDefault="00AB7C4D"/>
    <w:p w:rsidR="00D46D5D" w:rsidRDefault="00053447">
      <w:r>
        <w:t>Based upon these findings, our department would like to explore the research further to assess the determining factors which lead males to enter the workforce at a higher rate than females.</w:t>
      </w:r>
      <w:r w:rsidR="00D46D5D">
        <w:t xml:space="preserve">  We would also like to develop programs and initiatives that would allow high school students earn while they lear</w:t>
      </w:r>
      <w:r w:rsidR="00B177A6">
        <w:t>n.  Currently, our team is exploring various science, technology, engineering and mathematics programs that would provide students with the necessary skills and trades to compete in a global market.</w:t>
      </w:r>
      <w:r w:rsidR="00D46D5D">
        <w:t xml:space="preserve"> </w:t>
      </w:r>
    </w:p>
    <w:p w:rsidR="00D46D5D" w:rsidRDefault="00D46D5D"/>
    <w:p w:rsidR="00D46D5D" w:rsidRDefault="00800F81">
      <w:r>
        <w:t>Our primary goal is to ensure that 100% of students in the state of New Jersey earn</w:t>
      </w:r>
      <w:r w:rsidR="00053447">
        <w:t xml:space="preserve"> a high school diploma</w:t>
      </w:r>
      <w:r>
        <w:t xml:space="preserve">.  </w:t>
      </w:r>
      <w:r w:rsidR="00725C8F">
        <w:t xml:space="preserve">In a recent study, we learned that some students were more likely to complete their high school degree if provided with opportunities for “hands-on” learning in </w:t>
      </w:r>
      <w:r w:rsidR="00680953">
        <w:t xml:space="preserve">a </w:t>
      </w:r>
      <w:r w:rsidR="00725C8F">
        <w:t>non-traditional</w:t>
      </w:r>
      <w:r w:rsidR="00680953">
        <w:t xml:space="preserve"> program</w:t>
      </w:r>
      <w:r w:rsidR="00725C8F">
        <w:t xml:space="preserve">.  </w:t>
      </w:r>
    </w:p>
    <w:p w:rsidR="00725C8F" w:rsidRDefault="00725C8F"/>
    <w:p w:rsidR="00341866" w:rsidRDefault="00D46D5D">
      <w:r>
        <w:t>Given your level of expertise, we would like your assistance in developing grants</w:t>
      </w:r>
      <w:r w:rsidR="00B177A6">
        <w:t xml:space="preserve"> </w:t>
      </w:r>
      <w:r w:rsidR="00680953">
        <w:t>for STEM</w:t>
      </w:r>
      <w:r w:rsidR="00B177A6">
        <w:t xml:space="preserve"> initiatives that could be incorporated in </w:t>
      </w:r>
      <w:r w:rsidR="00725C8F">
        <w:t xml:space="preserve">various </w:t>
      </w:r>
      <w:r w:rsidR="00B177A6">
        <w:t>high schools throughout the state of New Jersey.  More specifically, we would like to create opportunities for students to learn a trade and take part in apprenticeships throughout</w:t>
      </w:r>
      <w:r w:rsidR="00341866">
        <w:t xml:space="preserve"> the course of their four years in high school.  This would be an alternat</w:t>
      </w:r>
      <w:r w:rsidR="00725C8F">
        <w:t>ive</w:t>
      </w:r>
      <w:r w:rsidR="00341866">
        <w:t xml:space="preserve"> program for those students that are not currently interested in exploring the traditional college track.  </w:t>
      </w:r>
    </w:p>
    <w:p w:rsidR="00341866" w:rsidRDefault="00341866"/>
    <w:p w:rsidR="00725C8F" w:rsidRDefault="00341866" w:rsidP="00725C8F">
      <w:r>
        <w:t>We firmly believe that you would be an asset to our tea</w:t>
      </w:r>
      <w:r w:rsidR="00725C8F">
        <w:t>m</w:t>
      </w:r>
      <w:r w:rsidR="00680953">
        <w:t xml:space="preserve"> and hope that you are equally interested in collaborating with us.  </w:t>
      </w:r>
      <w:r w:rsidR="00725C8F">
        <w:t xml:space="preserve">Please contact me at </w:t>
      </w:r>
      <w:r w:rsidR="00CA492E">
        <w:t>your earliest convenience to</w:t>
      </w:r>
      <w:r w:rsidR="00680953">
        <w:t xml:space="preserve"> explore if this is an opportunity that is of interest to you.  </w:t>
      </w:r>
      <w:r w:rsidR="00CA492E">
        <w:t xml:space="preserve"> </w:t>
      </w:r>
    </w:p>
    <w:p w:rsidR="00AB7C4D" w:rsidRDefault="00AB7C4D"/>
    <w:p w:rsidR="00AB7C4D" w:rsidRDefault="00AB7C4D"/>
    <w:p w:rsidR="00AB7C4D" w:rsidRDefault="00AB7C4D"/>
    <w:p w:rsidR="00AB7C4D" w:rsidRDefault="00AB7C4D"/>
    <w:p w:rsidR="00AB7C4D" w:rsidRDefault="00AB7C4D"/>
    <w:p w:rsidR="00AB7C4D" w:rsidRDefault="00AB7C4D"/>
    <w:p w:rsidR="00AB7C4D" w:rsidRDefault="00AB7C4D"/>
    <w:p w:rsidR="00AB7C4D" w:rsidRDefault="00327AC1" w:rsidP="00523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5233A5" w:rsidRPr="00327AC1">
        <w:rPr>
          <w:b/>
          <w:sz w:val="28"/>
          <w:szCs w:val="28"/>
        </w:rPr>
        <w:t>eferences</w:t>
      </w:r>
    </w:p>
    <w:p w:rsidR="00327AC1" w:rsidRDefault="00327AC1" w:rsidP="005233A5">
      <w:pPr>
        <w:jc w:val="center"/>
        <w:rPr>
          <w:b/>
          <w:sz w:val="28"/>
          <w:szCs w:val="28"/>
        </w:rPr>
      </w:pPr>
    </w:p>
    <w:p w:rsidR="00327AC1" w:rsidRDefault="00327AC1" w:rsidP="00327AC1">
      <w:pPr>
        <w:spacing w:after="180"/>
        <w:ind w:left="450" w:hanging="450"/>
        <w:rPr>
          <w:color w:val="222222"/>
          <w:shd w:val="clear" w:color="auto" w:fill="FFFFFF"/>
        </w:rPr>
      </w:pPr>
      <w:proofErr w:type="spellStart"/>
      <w:proofErr w:type="gramStart"/>
      <w:r w:rsidRPr="00587C50">
        <w:rPr>
          <w:color w:val="222222"/>
          <w:shd w:val="clear" w:color="auto" w:fill="FFFFFF"/>
        </w:rPr>
        <w:t>Kuiper</w:t>
      </w:r>
      <w:proofErr w:type="spellEnd"/>
      <w:r w:rsidRPr="00587C50">
        <w:rPr>
          <w:color w:val="222222"/>
          <w:shd w:val="clear" w:color="auto" w:fill="FFFFFF"/>
        </w:rPr>
        <w:t>, S.</w:t>
      </w:r>
      <w:proofErr w:type="gramEnd"/>
      <w:r w:rsidRPr="00587C50">
        <w:rPr>
          <w:color w:val="222222"/>
          <w:shd w:val="clear" w:color="auto" w:fill="FFFFFF"/>
        </w:rPr>
        <w:t xml:space="preserve"> </w:t>
      </w:r>
      <w:r w:rsidR="00D37A0A">
        <w:rPr>
          <w:color w:val="222222"/>
          <w:shd w:val="clear" w:color="auto" w:fill="FFFFFF"/>
        </w:rPr>
        <w:t xml:space="preserve"> </w:t>
      </w:r>
      <w:r w:rsidRPr="00587C50">
        <w:rPr>
          <w:color w:val="222222"/>
          <w:shd w:val="clear" w:color="auto" w:fill="FFFFFF"/>
        </w:rPr>
        <w:t>(20</w:t>
      </w:r>
      <w:r w:rsidR="00D37A0A">
        <w:rPr>
          <w:color w:val="222222"/>
          <w:shd w:val="clear" w:color="auto" w:fill="FFFFFF"/>
        </w:rPr>
        <w:t>09</w:t>
      </w:r>
      <w:r w:rsidRPr="00587C50">
        <w:rPr>
          <w:color w:val="222222"/>
          <w:shd w:val="clear" w:color="auto" w:fill="FFFFFF"/>
        </w:rPr>
        <w:t>).</w:t>
      </w:r>
      <w:r w:rsidRPr="00587C50">
        <w:rPr>
          <w:rStyle w:val="apple-converted-space"/>
          <w:color w:val="222222"/>
          <w:shd w:val="clear" w:color="auto" w:fill="FFFFFF"/>
        </w:rPr>
        <w:t> </w:t>
      </w:r>
      <w:r w:rsidRPr="00587C50">
        <w:rPr>
          <w:i/>
          <w:iCs/>
          <w:color w:val="222222"/>
          <w:shd w:val="clear" w:color="auto" w:fill="FFFFFF"/>
        </w:rPr>
        <w:t>Contemporary</w:t>
      </w:r>
      <w:r w:rsidR="00D37A0A">
        <w:rPr>
          <w:i/>
          <w:iCs/>
          <w:color w:val="222222"/>
          <w:shd w:val="clear" w:color="auto" w:fill="FFFFFF"/>
        </w:rPr>
        <w:t xml:space="preserve"> B</w:t>
      </w:r>
      <w:r w:rsidRPr="00587C50">
        <w:rPr>
          <w:i/>
          <w:iCs/>
          <w:color w:val="222222"/>
          <w:shd w:val="clear" w:color="auto" w:fill="FFFFFF"/>
        </w:rPr>
        <w:t>usiness</w:t>
      </w:r>
      <w:r w:rsidR="00D37A0A">
        <w:rPr>
          <w:i/>
          <w:iCs/>
          <w:color w:val="222222"/>
          <w:shd w:val="clear" w:color="auto" w:fill="FFFFFF"/>
        </w:rPr>
        <w:t xml:space="preserve"> R</w:t>
      </w:r>
      <w:r w:rsidRPr="00587C50">
        <w:rPr>
          <w:i/>
          <w:iCs/>
          <w:color w:val="222222"/>
          <w:shd w:val="clear" w:color="auto" w:fill="FFFFFF"/>
        </w:rPr>
        <w:t xml:space="preserve">eport </w:t>
      </w:r>
      <w:r w:rsidR="00D37A0A">
        <w:rPr>
          <w:i/>
          <w:iCs/>
          <w:color w:val="222222"/>
          <w:shd w:val="clear" w:color="auto" w:fill="FFFFFF"/>
        </w:rPr>
        <w:t>W</w:t>
      </w:r>
      <w:r w:rsidRPr="00587C50">
        <w:rPr>
          <w:i/>
          <w:iCs/>
          <w:color w:val="222222"/>
          <w:shd w:val="clear" w:color="auto" w:fill="FFFFFF"/>
        </w:rPr>
        <w:t>riting</w:t>
      </w:r>
      <w:r w:rsidR="00D37A0A">
        <w:rPr>
          <w:color w:val="222222"/>
          <w:shd w:val="clear" w:color="auto" w:fill="FFFFFF"/>
        </w:rPr>
        <w:t xml:space="preserve"> (</w:t>
      </w:r>
      <w:r w:rsidRPr="00587C50">
        <w:rPr>
          <w:color w:val="222222"/>
          <w:shd w:val="clear" w:color="auto" w:fill="FFFFFF"/>
        </w:rPr>
        <w:t xml:space="preserve">4th </w:t>
      </w:r>
      <w:proofErr w:type="gramStart"/>
      <w:r w:rsidRPr="00587C50">
        <w:rPr>
          <w:color w:val="222222"/>
          <w:shd w:val="clear" w:color="auto" w:fill="FFFFFF"/>
        </w:rPr>
        <w:t>ed</w:t>
      </w:r>
      <w:proofErr w:type="gramEnd"/>
      <w:r w:rsidRPr="00587C50">
        <w:rPr>
          <w:color w:val="222222"/>
          <w:shd w:val="clear" w:color="auto" w:fill="FFFFFF"/>
        </w:rPr>
        <w:t>.</w:t>
      </w:r>
      <w:r w:rsidR="00D37A0A">
        <w:rPr>
          <w:color w:val="222222"/>
          <w:shd w:val="clear" w:color="auto" w:fill="FFFFFF"/>
        </w:rPr>
        <w:t>).</w:t>
      </w:r>
      <w:r w:rsidRPr="00587C50">
        <w:rPr>
          <w:color w:val="222222"/>
          <w:shd w:val="clear" w:color="auto" w:fill="FFFFFF"/>
        </w:rPr>
        <w:t xml:space="preserve"> </w:t>
      </w:r>
      <w:r w:rsidR="00D37A0A">
        <w:rPr>
          <w:color w:val="222222"/>
          <w:shd w:val="clear" w:color="auto" w:fill="FFFFFF"/>
        </w:rPr>
        <w:t xml:space="preserve"> Cincinnati, OH: </w:t>
      </w:r>
      <w:r w:rsidRPr="00587C50">
        <w:rPr>
          <w:color w:val="222222"/>
          <w:shd w:val="clear" w:color="auto" w:fill="FFFFFF"/>
        </w:rPr>
        <w:t xml:space="preserve"> </w:t>
      </w:r>
      <w:proofErr w:type="spellStart"/>
      <w:r w:rsidRPr="00587C50">
        <w:rPr>
          <w:color w:val="222222"/>
          <w:shd w:val="clear" w:color="auto" w:fill="FFFFFF"/>
        </w:rPr>
        <w:t>Cengage</w:t>
      </w:r>
      <w:proofErr w:type="spellEnd"/>
      <w:r w:rsidRPr="00587C50">
        <w:rPr>
          <w:color w:val="222222"/>
          <w:shd w:val="clear" w:color="auto" w:fill="FFFFFF"/>
        </w:rPr>
        <w:t xml:space="preserve"> Learning</w:t>
      </w:r>
      <w:r>
        <w:rPr>
          <w:color w:val="222222"/>
          <w:shd w:val="clear" w:color="auto" w:fill="FFFFFF"/>
        </w:rPr>
        <w:t>.</w:t>
      </w:r>
    </w:p>
    <w:p w:rsidR="006D763C" w:rsidRDefault="006D763C" w:rsidP="00327AC1">
      <w:pPr>
        <w:spacing w:after="180"/>
        <w:ind w:left="450" w:hanging="450"/>
        <w:rPr>
          <w:color w:val="222222"/>
          <w:shd w:val="clear" w:color="auto" w:fill="FFFFFF"/>
        </w:rPr>
      </w:pPr>
    </w:p>
    <w:p w:rsidR="006D763C" w:rsidRDefault="006D763C" w:rsidP="006D763C">
      <w:pPr>
        <w:spacing w:after="180"/>
        <w:ind w:left="450" w:hanging="45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U.S. Census Bureau, Statistical Abstract of the United States: 2012. (</w:t>
      </w:r>
      <w:proofErr w:type="gramStart"/>
      <w:r>
        <w:rPr>
          <w:color w:val="222222"/>
          <w:shd w:val="clear" w:color="auto" w:fill="FFFFFF"/>
        </w:rPr>
        <w:t>online</w:t>
      </w:r>
      <w:proofErr w:type="gramEnd"/>
      <w:r>
        <w:rPr>
          <w:color w:val="222222"/>
          <w:shd w:val="clear" w:color="auto" w:fill="FFFFFF"/>
        </w:rPr>
        <w:t xml:space="preserve">) </w:t>
      </w:r>
      <w:hyperlink r:id="rId8" w:history="1">
        <w:r w:rsidR="000E7858" w:rsidRPr="005540BF">
          <w:rPr>
            <w:rStyle w:val="Hyperlink"/>
            <w:shd w:val="clear" w:color="auto" w:fill="FFFFFF"/>
          </w:rPr>
          <w:t>http://www.census.gov/compendia/statab/2012/tables/12s0593.pdf</w:t>
        </w:r>
      </w:hyperlink>
      <w:r w:rsidR="000E7858">
        <w:rPr>
          <w:color w:val="222222"/>
          <w:shd w:val="clear" w:color="auto" w:fill="FFFFFF"/>
        </w:rPr>
        <w:t xml:space="preserve"> (Accessed: July 20, 2014).</w:t>
      </w:r>
    </w:p>
    <w:p w:rsidR="00D37A0A" w:rsidRDefault="00D37A0A" w:rsidP="00327AC1">
      <w:pPr>
        <w:spacing w:after="180"/>
        <w:ind w:left="450" w:hanging="450"/>
        <w:rPr>
          <w:color w:val="222222"/>
          <w:shd w:val="clear" w:color="auto" w:fill="FFFFFF"/>
        </w:rPr>
      </w:pPr>
    </w:p>
    <w:p w:rsidR="00D37A0A" w:rsidRDefault="00D37A0A" w:rsidP="00327AC1">
      <w:pPr>
        <w:spacing w:after="180"/>
        <w:ind w:left="450" w:hanging="45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U.S. Bureau of Labor Statistics, “Employment and Earnings Online,” January 2011 issue, March 2011, </w:t>
      </w:r>
      <w:hyperlink r:id="rId9" w:history="1">
        <w:r w:rsidR="006D763C" w:rsidRPr="005540BF">
          <w:rPr>
            <w:rStyle w:val="Hyperlink"/>
            <w:shd w:val="clear" w:color="auto" w:fill="FFFFFF"/>
          </w:rPr>
          <w:t>www.bls.gov/opub/ee/home.htm</w:t>
        </w:r>
      </w:hyperlink>
      <w:r w:rsidR="006D763C">
        <w:rPr>
          <w:color w:val="222222"/>
          <w:shd w:val="clear" w:color="auto" w:fill="FFFFFF"/>
        </w:rPr>
        <w:t xml:space="preserve"> and </w:t>
      </w:r>
      <w:hyperlink r:id="rId10" w:history="1">
        <w:r w:rsidR="006D763C" w:rsidRPr="005540BF">
          <w:rPr>
            <w:rStyle w:val="Hyperlink"/>
            <w:shd w:val="clear" w:color="auto" w:fill="FFFFFF"/>
          </w:rPr>
          <w:t>www.bls.gov/cps/home.htm</w:t>
        </w:r>
      </w:hyperlink>
    </w:p>
    <w:p w:rsidR="00F84AFC" w:rsidRDefault="00F84AFC" w:rsidP="00327AC1">
      <w:pPr>
        <w:spacing w:after="180"/>
        <w:ind w:left="450" w:hanging="450"/>
        <w:rPr>
          <w:color w:val="222222"/>
          <w:shd w:val="clear" w:color="auto" w:fill="FFFFFF"/>
        </w:rPr>
      </w:pPr>
    </w:p>
    <w:p w:rsidR="006D763C" w:rsidRDefault="006D763C" w:rsidP="00327AC1">
      <w:pPr>
        <w:spacing w:after="180"/>
        <w:ind w:left="450" w:hanging="450"/>
        <w:rPr>
          <w:color w:val="222222"/>
          <w:shd w:val="clear" w:color="auto" w:fill="FFFFFF"/>
        </w:rPr>
      </w:pPr>
    </w:p>
    <w:p w:rsidR="00D37A0A" w:rsidRDefault="00D37A0A" w:rsidP="00327AC1">
      <w:pPr>
        <w:spacing w:after="180"/>
        <w:ind w:left="450" w:hanging="450"/>
        <w:rPr>
          <w:color w:val="222222"/>
          <w:shd w:val="clear" w:color="auto" w:fill="FFFFFF"/>
        </w:rPr>
      </w:pPr>
    </w:p>
    <w:p w:rsidR="00D37A0A" w:rsidRPr="00F33115" w:rsidRDefault="00D37A0A" w:rsidP="00327AC1">
      <w:pPr>
        <w:spacing w:after="180"/>
        <w:ind w:left="450" w:hanging="450"/>
        <w:rPr>
          <w:rFonts w:eastAsia="Times New Roman" w:cs="Times New Roman"/>
          <w:color w:val="222222"/>
        </w:rPr>
      </w:pPr>
    </w:p>
    <w:p w:rsidR="00327AC1" w:rsidRDefault="00327AC1" w:rsidP="005233A5">
      <w:pPr>
        <w:jc w:val="center"/>
        <w:rPr>
          <w:b/>
          <w:sz w:val="28"/>
          <w:szCs w:val="28"/>
        </w:rPr>
      </w:pPr>
    </w:p>
    <w:p w:rsidR="00327AC1" w:rsidRPr="00327AC1" w:rsidRDefault="00327AC1" w:rsidP="005233A5">
      <w:pPr>
        <w:jc w:val="center"/>
        <w:rPr>
          <w:b/>
          <w:sz w:val="28"/>
          <w:szCs w:val="28"/>
        </w:rPr>
      </w:pPr>
    </w:p>
    <w:p w:rsidR="00AB7C4D" w:rsidRDefault="00AB7C4D"/>
    <w:p w:rsidR="00AB7C4D" w:rsidRDefault="00AB7C4D"/>
    <w:p w:rsidR="00AB7C4D" w:rsidRDefault="00AB7C4D"/>
    <w:p w:rsidR="00AB7C4D" w:rsidRDefault="00AB7C4D"/>
    <w:p w:rsidR="00AB7C4D" w:rsidRDefault="00AB7C4D"/>
    <w:p w:rsidR="00AB7C4D" w:rsidRDefault="00AB7C4D"/>
    <w:p w:rsidR="00AB7C4D" w:rsidRDefault="00AB7C4D"/>
    <w:sectPr w:rsidR="00AB7C4D" w:rsidSect="000E7858">
      <w:headerReference w:type="default" r:id="rId11"/>
      <w:footerReference w:type="even" r:id="rId12"/>
      <w:pgSz w:w="12240" w:h="15840"/>
      <w:pgMar w:top="810" w:right="1800" w:bottom="1440" w:left="1800" w:header="36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0CD" w:rsidRDefault="006950CD" w:rsidP="00E01DBA">
      <w:r>
        <w:separator/>
      </w:r>
    </w:p>
  </w:endnote>
  <w:endnote w:type="continuationSeparator" w:id="0">
    <w:p w:rsidR="006950CD" w:rsidRDefault="006950CD" w:rsidP="00E01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AC1" w:rsidRDefault="00327AC1">
    <w:pPr>
      <w:pStyle w:val="Footer"/>
    </w:pPr>
  </w:p>
  <w:p w:rsidR="00327AC1" w:rsidRDefault="00327AC1">
    <w:pPr>
      <w:pStyle w:val="Footer"/>
    </w:pPr>
  </w:p>
  <w:p w:rsidR="00327AC1" w:rsidRDefault="00327AC1">
    <w:pPr>
      <w:pStyle w:val="Footer"/>
    </w:pPr>
  </w:p>
  <w:p w:rsidR="00327AC1" w:rsidRDefault="00327A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0CD" w:rsidRDefault="006950CD" w:rsidP="00E01DBA">
      <w:r>
        <w:separator/>
      </w:r>
    </w:p>
  </w:footnote>
  <w:footnote w:type="continuationSeparator" w:id="0">
    <w:p w:rsidR="006950CD" w:rsidRDefault="006950CD" w:rsidP="00E01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E8" w:rsidRDefault="0066266F" w:rsidP="00A60CE8">
    <w:pPr>
      <w:pStyle w:val="Header"/>
      <w:ind w:left="-1350"/>
    </w:pPr>
    <w:r>
      <w:rPr>
        <w:noProof/>
      </w:rPr>
      <w:pict>
        <v:line id="_x0000_s1026" style="position:absolute;left:0;text-align:left;z-index:-251658240" from="126pt,4.5pt" to="126pt,130.75pt" strokecolor="#4a7ebb" strokeweight="1.5pt">
          <v:fill o:detectmouseclick="t"/>
          <v:shadow on="t" opacity="22938f" offset="0"/>
        </v:line>
      </w:pict>
    </w:r>
  </w:p>
  <w:p w:rsidR="00A60CE8" w:rsidRDefault="00C23275" w:rsidP="00C2327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-638175</wp:posOffset>
          </wp:positionH>
          <wp:positionV relativeFrom="paragraph">
            <wp:posOffset>12065</wp:posOffset>
          </wp:positionV>
          <wp:extent cx="1971675" cy="1314450"/>
          <wp:effectExtent l="19050" t="0" r="9525" b="0"/>
          <wp:wrapThrough wrapText="bothSides">
            <wp:wrapPolygon edited="0">
              <wp:start x="-209" y="0"/>
              <wp:lineTo x="-209" y="21287"/>
              <wp:lineTo x="21704" y="21287"/>
              <wp:lineTo x="21704" y="0"/>
              <wp:lineTo x="-209" y="0"/>
            </wp:wrapPolygon>
          </wp:wrapThrough>
          <wp:docPr id="4" name="Picture 2" descr=":EdTechLOGO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EdTechLOGO-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0CE8">
      <w:tab/>
    </w:r>
  </w:p>
  <w:p w:rsidR="00A60CE8" w:rsidRPr="00C23275" w:rsidRDefault="00A60CE8" w:rsidP="00A60CE8">
    <w:pPr>
      <w:pStyle w:val="Header"/>
      <w:ind w:left="-1350"/>
      <w:rPr>
        <w:b/>
        <w:color w:val="92D050"/>
        <w:sz w:val="26"/>
        <w:szCs w:val="26"/>
      </w:rPr>
    </w:pPr>
    <w:r>
      <w:tab/>
    </w:r>
    <w:r w:rsidR="00624FB0">
      <w:t xml:space="preserve">      </w:t>
    </w:r>
    <w:r w:rsidR="00624FB0" w:rsidRPr="00C23275">
      <w:rPr>
        <w:b/>
        <w:color w:val="92D050"/>
        <w:sz w:val="26"/>
        <w:szCs w:val="26"/>
      </w:rPr>
      <w:t>Martha Osei-Yaw</w:t>
    </w:r>
  </w:p>
  <w:p w:rsidR="00A60CE8" w:rsidRPr="00C23275" w:rsidRDefault="00A60CE8" w:rsidP="00A60CE8">
    <w:pPr>
      <w:pStyle w:val="Header"/>
      <w:ind w:left="-1350"/>
      <w:rPr>
        <w:b/>
        <w:color w:val="92D050"/>
        <w:sz w:val="26"/>
        <w:szCs w:val="26"/>
      </w:rPr>
    </w:pPr>
    <w:r w:rsidRPr="00C23275">
      <w:rPr>
        <w:b/>
        <w:color w:val="92D050"/>
        <w:sz w:val="26"/>
        <w:szCs w:val="26"/>
      </w:rPr>
      <w:tab/>
    </w:r>
    <w:r w:rsidR="00624FB0" w:rsidRPr="00C23275">
      <w:rPr>
        <w:b/>
        <w:color w:val="92D050"/>
        <w:sz w:val="26"/>
        <w:szCs w:val="26"/>
      </w:rPr>
      <w:t xml:space="preserve">       </w:t>
    </w:r>
    <w:r w:rsidRPr="00C23275">
      <w:rPr>
        <w:b/>
        <w:color w:val="92D050"/>
        <w:sz w:val="26"/>
        <w:szCs w:val="26"/>
      </w:rPr>
      <w:t>New Jersey City University</w:t>
    </w:r>
  </w:p>
  <w:p w:rsidR="00A60CE8" w:rsidRPr="00C23275" w:rsidRDefault="00A60CE8" w:rsidP="00A60CE8">
    <w:pPr>
      <w:pStyle w:val="Header"/>
      <w:ind w:left="-1350"/>
      <w:rPr>
        <w:b/>
        <w:color w:val="92D050"/>
        <w:sz w:val="26"/>
        <w:szCs w:val="26"/>
      </w:rPr>
    </w:pPr>
    <w:r w:rsidRPr="00C23275">
      <w:rPr>
        <w:b/>
        <w:color w:val="92D050"/>
        <w:sz w:val="26"/>
        <w:szCs w:val="26"/>
      </w:rPr>
      <w:tab/>
    </w:r>
    <w:r w:rsidR="00624FB0" w:rsidRPr="00C23275">
      <w:rPr>
        <w:b/>
        <w:color w:val="92D050"/>
        <w:sz w:val="26"/>
        <w:szCs w:val="26"/>
      </w:rPr>
      <w:t xml:space="preserve">    </w:t>
    </w:r>
    <w:proofErr w:type="spellStart"/>
    <w:r w:rsidRPr="00C23275">
      <w:rPr>
        <w:b/>
        <w:color w:val="92D050"/>
        <w:sz w:val="26"/>
        <w:szCs w:val="26"/>
      </w:rPr>
      <w:t>EdTech</w:t>
    </w:r>
    <w:proofErr w:type="spellEnd"/>
    <w:r w:rsidRPr="00C23275">
      <w:rPr>
        <w:b/>
        <w:color w:val="92D050"/>
        <w:sz w:val="26"/>
        <w:szCs w:val="26"/>
      </w:rPr>
      <w:t xml:space="preserve"> 2.0</w:t>
    </w:r>
  </w:p>
  <w:p w:rsidR="00A60CE8" w:rsidRPr="00C23275" w:rsidRDefault="00A60CE8" w:rsidP="00A60CE8">
    <w:pPr>
      <w:pStyle w:val="Header"/>
      <w:ind w:left="-1350"/>
      <w:rPr>
        <w:b/>
        <w:color w:val="92D050"/>
        <w:sz w:val="26"/>
        <w:szCs w:val="26"/>
      </w:rPr>
    </w:pPr>
    <w:r w:rsidRPr="00C23275">
      <w:rPr>
        <w:b/>
        <w:color w:val="92D050"/>
        <w:sz w:val="26"/>
        <w:szCs w:val="26"/>
      </w:rPr>
      <w:tab/>
    </w:r>
    <w:r w:rsidR="00624FB0" w:rsidRPr="00C23275">
      <w:rPr>
        <w:b/>
        <w:color w:val="92D050"/>
        <w:sz w:val="26"/>
        <w:szCs w:val="26"/>
      </w:rPr>
      <w:t xml:space="preserve">         </w:t>
    </w:r>
    <w:r w:rsidRPr="00C23275">
      <w:rPr>
        <w:b/>
        <w:color w:val="92D050"/>
        <w:sz w:val="26"/>
        <w:szCs w:val="26"/>
      </w:rPr>
      <w:t>2039 John F</w:t>
    </w:r>
    <w:r w:rsidR="00C23275">
      <w:rPr>
        <w:b/>
        <w:color w:val="92D050"/>
        <w:sz w:val="26"/>
        <w:szCs w:val="26"/>
      </w:rPr>
      <w:t>.</w:t>
    </w:r>
    <w:r w:rsidRPr="00C23275">
      <w:rPr>
        <w:b/>
        <w:color w:val="92D050"/>
        <w:sz w:val="26"/>
        <w:szCs w:val="26"/>
      </w:rPr>
      <w:t xml:space="preserve"> Kennedy Blvd</w:t>
    </w:r>
    <w:r w:rsidR="00C23275">
      <w:rPr>
        <w:b/>
        <w:color w:val="92D050"/>
        <w:sz w:val="26"/>
        <w:szCs w:val="26"/>
      </w:rPr>
      <w:t>. W.</w:t>
    </w:r>
  </w:p>
  <w:p w:rsidR="00A60CE8" w:rsidRPr="00C23275" w:rsidRDefault="00A60CE8" w:rsidP="00A60CE8">
    <w:pPr>
      <w:pStyle w:val="Header"/>
      <w:ind w:left="-1350"/>
      <w:rPr>
        <w:color w:val="92D050"/>
        <w:sz w:val="26"/>
        <w:szCs w:val="26"/>
      </w:rPr>
    </w:pPr>
    <w:r w:rsidRPr="00C23275">
      <w:rPr>
        <w:b/>
        <w:color w:val="92D050"/>
        <w:sz w:val="26"/>
        <w:szCs w:val="26"/>
      </w:rPr>
      <w:tab/>
    </w:r>
    <w:r w:rsidR="00624FB0" w:rsidRPr="00C23275">
      <w:rPr>
        <w:b/>
        <w:color w:val="92D050"/>
        <w:sz w:val="26"/>
        <w:szCs w:val="26"/>
      </w:rPr>
      <w:t xml:space="preserve">        </w:t>
    </w:r>
    <w:r w:rsidRPr="00C23275">
      <w:rPr>
        <w:b/>
        <w:color w:val="92D050"/>
        <w:sz w:val="26"/>
        <w:szCs w:val="26"/>
      </w:rPr>
      <w:t>Jersey City, New Jersey 07305</w:t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</w:p>
  <w:p w:rsidR="00A60CE8" w:rsidRPr="00C23275" w:rsidRDefault="00A60CE8" w:rsidP="00A60CE8">
    <w:pPr>
      <w:pStyle w:val="Header"/>
      <w:rPr>
        <w:color w:val="92D050"/>
        <w:sz w:val="26"/>
        <w:szCs w:val="26"/>
      </w:rPr>
    </w:pPr>
    <w:r w:rsidRPr="00C23275">
      <w:rPr>
        <w:color w:val="92D050"/>
        <w:sz w:val="26"/>
        <w:szCs w:val="26"/>
      </w:rPr>
      <w:tab/>
    </w:r>
  </w:p>
  <w:p w:rsidR="00A60CE8" w:rsidRDefault="00A60CE8" w:rsidP="00A60CE8">
    <w:pPr>
      <w:pStyle w:val="Header"/>
      <w:ind w:left="-13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6" fillcolor="#3f80cd" strokecolor="#4a7ebb">
      <v:fill color="#3f80cd" color2="#9bc1ff" focusposition="" focussize=",90" type="gradient">
        <o:fill v:ext="view" type="gradientUnscaled"/>
      </v:fill>
      <v:stroke color="#4a7ebb" weight="1.5pt"/>
      <v:shadow on="t" opacity="22938f" offset="0"/>
      <v:textbox inset=",7.2pt,,7.2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1C3910"/>
    <w:rsid w:val="00053447"/>
    <w:rsid w:val="000E73D0"/>
    <w:rsid w:val="000E7858"/>
    <w:rsid w:val="001C1FC0"/>
    <w:rsid w:val="001C3910"/>
    <w:rsid w:val="002A5632"/>
    <w:rsid w:val="002C7D51"/>
    <w:rsid w:val="00327AC1"/>
    <w:rsid w:val="00341866"/>
    <w:rsid w:val="003A48E0"/>
    <w:rsid w:val="00435D14"/>
    <w:rsid w:val="00470132"/>
    <w:rsid w:val="0051687B"/>
    <w:rsid w:val="005233A5"/>
    <w:rsid w:val="005A6BC7"/>
    <w:rsid w:val="00624FB0"/>
    <w:rsid w:val="0066266F"/>
    <w:rsid w:val="00680953"/>
    <w:rsid w:val="006950CD"/>
    <w:rsid w:val="006D763C"/>
    <w:rsid w:val="00725C8F"/>
    <w:rsid w:val="00800F81"/>
    <w:rsid w:val="00895876"/>
    <w:rsid w:val="008F3129"/>
    <w:rsid w:val="009A526B"/>
    <w:rsid w:val="00A60CE8"/>
    <w:rsid w:val="00AB7C4D"/>
    <w:rsid w:val="00B177A6"/>
    <w:rsid w:val="00BD3285"/>
    <w:rsid w:val="00C23275"/>
    <w:rsid w:val="00C23C45"/>
    <w:rsid w:val="00CA492E"/>
    <w:rsid w:val="00D11FE0"/>
    <w:rsid w:val="00D37A0A"/>
    <w:rsid w:val="00D46D5D"/>
    <w:rsid w:val="00E01DBA"/>
    <w:rsid w:val="00EC16F1"/>
    <w:rsid w:val="00F84A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3f80cd" strokecolor="#4a7ebb">
      <v:fill color="#3f80cd" color2="#9bc1ff" focusposition="" focussize=",90" type="gradient">
        <o:fill v:ext="view" type="gradientUnscaled"/>
      </v:fill>
      <v:stroke color="#4a7ebb" weight="1.5pt"/>
      <v:shadow on="t" opacity="22938f" offset="0"/>
      <v:textbox inset=",7.2pt,,7.2pt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C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CE8"/>
  </w:style>
  <w:style w:type="paragraph" w:styleId="Footer">
    <w:name w:val="footer"/>
    <w:basedOn w:val="Normal"/>
    <w:link w:val="FooterChar"/>
    <w:uiPriority w:val="99"/>
    <w:semiHidden/>
    <w:unhideWhenUsed/>
    <w:rsid w:val="00A60C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0CE8"/>
  </w:style>
  <w:style w:type="paragraph" w:styleId="BalloonText">
    <w:name w:val="Balloon Text"/>
    <w:basedOn w:val="Normal"/>
    <w:link w:val="BalloonTextChar"/>
    <w:uiPriority w:val="99"/>
    <w:semiHidden/>
    <w:unhideWhenUsed/>
    <w:rsid w:val="00624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F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27AC1"/>
  </w:style>
  <w:style w:type="character" w:styleId="Hyperlink">
    <w:name w:val="Hyperlink"/>
    <w:basedOn w:val="DefaultParagraphFont"/>
    <w:uiPriority w:val="99"/>
    <w:unhideWhenUsed/>
    <w:rsid w:val="00D37A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A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sus.gov/compendia/statab/2012/tables/12s059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ls.gov/cps/hom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s.gov/opub/ee/home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600"/>
              <a:t>US Labor Force Participation</a:t>
            </a:r>
            <a:r>
              <a:rPr lang="en-US" sz="1600" baseline="0"/>
              <a:t> Rates                            by Gender and Educational Attainment: 2010</a:t>
            </a:r>
            <a:endParaRPr lang="en-US" sz="1600"/>
          </a:p>
        </c:rich>
      </c:tx>
      <c:layout>
        <c:manualLayout>
          <c:xMode val="edge"/>
          <c:yMode val="edge"/>
          <c:x val="0.17041046952464287"/>
          <c:y val="3.365313206816891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7.6430263925342773E-2"/>
          <c:y val="0.17744620632098429"/>
          <c:w val="0.9235697168288759"/>
          <c:h val="0.60523682246141264"/>
        </c:manualLayout>
      </c:layout>
      <c:bar3DChart>
        <c:barDir val="col"/>
        <c:grouping val="clustered"/>
        <c:ser>
          <c:idx val="0"/>
          <c:order val="0"/>
          <c:tx>
            <c:strRef>
              <c:f>'[Data for project 1.xlsx]Sheet1'!$E$2</c:f>
              <c:strCache>
                <c:ptCount val="1"/>
                <c:pt idx="0">
                  <c:v>Male</c:v>
                </c:pt>
              </c:strCache>
            </c:strRef>
          </c:tx>
          <c:dLbls>
            <c:dLbl>
              <c:idx val="0"/>
              <c:layout>
                <c:manualLayout>
                  <c:x val="2.2774327122153302E-2"/>
                  <c:y val="-2.44648318042813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59.1 %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2.4844720496894412E-2"/>
                  <c:y val="-3.058103975535168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</a:t>
                    </a:r>
                    <a:r>
                      <a:rPr lang="en-US"/>
                      <a:t>1.4 %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1.8633540372670811E-2"/>
                  <c:y val="-2.4464831804281339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</a:t>
                    </a:r>
                    <a:r>
                      <a:rPr lang="en-US"/>
                      <a:t>6.7 %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'[Data for project 1.xlsx]Sheet1'!$A$3:$D$5</c:f>
              <c:strCache>
                <c:ptCount val="3"/>
                <c:pt idx="0">
                  <c:v>Less than a high school diploma</c:v>
                </c:pt>
                <c:pt idx="1">
                  <c:v>High school graduate, no college</c:v>
                </c:pt>
                <c:pt idx="2">
                  <c:v>Less than a bachelor's degree</c:v>
                </c:pt>
              </c:strCache>
            </c:strRef>
          </c:cat>
          <c:val>
            <c:numRef>
              <c:f>'[Data for project 1.xlsx]Sheet1'!$E$3:$E$5</c:f>
              <c:numCache>
                <c:formatCode>General</c:formatCode>
                <c:ptCount val="3"/>
                <c:pt idx="0">
                  <c:v>59.1</c:v>
                </c:pt>
                <c:pt idx="1">
                  <c:v>71.400000000000006</c:v>
                </c:pt>
                <c:pt idx="2">
                  <c:v>76.7</c:v>
                </c:pt>
              </c:numCache>
            </c:numRef>
          </c:val>
        </c:ser>
        <c:ser>
          <c:idx val="1"/>
          <c:order val="1"/>
          <c:tx>
            <c:strRef>
              <c:f>'[Data for project 1.xlsx]Sheet1'!$F$2</c:f>
              <c:strCache>
                <c:ptCount val="1"/>
                <c:pt idx="0">
                  <c:v>Female</c:v>
                </c:pt>
              </c:strCache>
            </c:strRef>
          </c:tx>
          <c:dLbls>
            <c:dLbl>
              <c:idx val="0"/>
              <c:layout>
                <c:manualLayout>
                  <c:x val="3.5196524347499987E-2"/>
                  <c:y val="-3.0581280550940369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</a:t>
                    </a:r>
                    <a:r>
                      <a:rPr lang="en-US"/>
                      <a:t>3.5 %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2.4844720496894412E-2"/>
                  <c:y val="-3.058103975535168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</a:t>
                    </a:r>
                    <a:r>
                      <a:rPr lang="en-US"/>
                      <a:t>2.4 %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2.6915113871635619E-2"/>
                  <c:y val="-2.752293577981659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</a:t>
                    </a:r>
                    <a:r>
                      <a:rPr lang="en-US"/>
                      <a:t>5.4 %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'[Data for project 1.xlsx]Sheet1'!$A$3:$D$5</c:f>
              <c:strCache>
                <c:ptCount val="3"/>
                <c:pt idx="0">
                  <c:v>Less than a high school diploma</c:v>
                </c:pt>
                <c:pt idx="1">
                  <c:v>High school graduate, no college</c:v>
                </c:pt>
                <c:pt idx="2">
                  <c:v>Less than a bachelor's degree</c:v>
                </c:pt>
              </c:strCache>
            </c:strRef>
          </c:cat>
          <c:val>
            <c:numRef>
              <c:f>'[Data for project 1.xlsx]Sheet1'!$F$3:$F$5</c:f>
              <c:numCache>
                <c:formatCode>General</c:formatCode>
                <c:ptCount val="3"/>
                <c:pt idx="0">
                  <c:v>33.5</c:v>
                </c:pt>
                <c:pt idx="1">
                  <c:v>52.4</c:v>
                </c:pt>
                <c:pt idx="2">
                  <c:v>65.400000000000006</c:v>
                </c:pt>
              </c:numCache>
            </c:numRef>
          </c:val>
        </c:ser>
        <c:gapWidth val="75"/>
        <c:shape val="cylinder"/>
        <c:axId val="78753152"/>
        <c:axId val="58872960"/>
        <c:axId val="0"/>
      </c:bar3DChart>
      <c:catAx>
        <c:axId val="7875315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000" b="1"/>
            </a:pPr>
            <a:endParaRPr lang="en-US"/>
          </a:p>
        </c:txPr>
        <c:crossAx val="58872960"/>
        <c:crossesAt val="0"/>
        <c:auto val="1"/>
        <c:lblAlgn val="ctr"/>
        <c:lblOffset val="100"/>
      </c:catAx>
      <c:valAx>
        <c:axId val="58872960"/>
        <c:scaling>
          <c:orientation val="minMax"/>
        </c:scaling>
        <c:axPos val="l"/>
        <c:majorGridlines/>
        <c:minorGridlines/>
        <c:numFmt formatCode="General" sourceLinked="1"/>
        <c:majorTickMark val="none"/>
        <c:tickLblPos val="nextTo"/>
        <c:spPr>
          <a:ln w="9525">
            <a:noFill/>
          </a:ln>
        </c:spPr>
        <c:crossAx val="78753152"/>
        <c:crosses val="autoZero"/>
        <c:crossBetween val="between"/>
      </c:valAx>
    </c:plotArea>
    <c:legend>
      <c:legendPos val="b"/>
      <c:txPr>
        <a:bodyPr/>
        <a:lstStyle/>
        <a:p>
          <a:pPr>
            <a:defRPr sz="1000" b="1"/>
          </a:pPr>
          <a:endParaRPr lang="en-US"/>
        </a:p>
      </c:txPr>
    </c:legend>
    <c:plotVisOnly val="1"/>
  </c:chart>
  <c:spPr>
    <a:ln w="12700" cmpd="sng">
      <a:solidFill>
        <a:schemeClr val="tx1"/>
      </a:solidFill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0.01248</cdr:x>
      <cdr:y>0.41514</cdr:y>
    </cdr:from>
    <cdr:to>
      <cdr:x>0.06528</cdr:x>
      <cdr:y>0.60581</cdr:y>
    </cdr:to>
    <cdr:sp macro="" textlink="">
      <cdr:nvSpPr>
        <cdr:cNvPr id="2" name="TextBox 1"/>
        <cdr:cNvSpPr txBox="1"/>
      </cdr:nvSpPr>
      <cdr:spPr>
        <a:xfrm xmlns:a="http://schemas.openxmlformats.org/drawingml/2006/main" rot="16200000">
          <a:off x="-180772" y="1965388"/>
          <a:ext cx="788202" cy="2896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000" b="1"/>
            <a:t>Percent</a:t>
          </a:r>
        </a:p>
      </cdr:txBody>
    </cdr:sp>
  </cdr:relSizeAnchor>
  <cdr:relSizeAnchor xmlns:cdr="http://schemas.openxmlformats.org/drawingml/2006/chartDrawing">
    <cdr:from>
      <cdr:x>0.1309</cdr:x>
      <cdr:y>0.07679</cdr:y>
    </cdr:from>
    <cdr:to>
      <cdr:x>0.83161</cdr:x>
      <cdr:y>0.17037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802984" y="318909"/>
          <a:ext cx="4298190" cy="3886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  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D6C6F33-B7AE-45A0-B164-8E8FE8DD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Safanova</dc:creator>
  <cp:lastModifiedBy>SCHOOL_USER</cp:lastModifiedBy>
  <cp:revision>2</cp:revision>
  <dcterms:created xsi:type="dcterms:W3CDTF">2014-07-25T18:21:00Z</dcterms:created>
  <dcterms:modified xsi:type="dcterms:W3CDTF">2014-07-25T18:21:00Z</dcterms:modified>
</cp:coreProperties>
</file>